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80" w:lineRule="exact"/>
        <w:jc w:val="center"/>
        <w:rPr>
          <w:rFonts w:ascii="FangSong_GB2312" w:hAnsi="FangSong_GB2312" w:cs="FangSong_GB2312"/>
          <w:szCs w:val="32"/>
        </w:rPr>
      </w:pPr>
      <w:r>
        <w:rPr>
          <w:rFonts w:hint="eastAsia" w:ascii="FangSong_GB2312" w:hAnsi="FangSong_GB2312" w:cs="FangSong_GB2312"/>
          <w:szCs w:val="32"/>
        </w:rPr>
        <w:t xml:space="preserve">                                                                                                                       </w:t>
      </w:r>
    </w:p>
    <w:p>
      <w:pPr>
        <w:spacing w:line="680" w:lineRule="exact"/>
        <w:jc w:val="center"/>
        <w:rPr>
          <w:rFonts w:ascii="FangSong_GB2312" w:hAnsi="FangSong_GB2312" w:cs="FangSong_GB2312"/>
          <w:szCs w:val="32"/>
        </w:rPr>
      </w:pPr>
    </w:p>
    <w:p>
      <w:pPr>
        <w:spacing w:line="680" w:lineRule="exact"/>
        <w:jc w:val="center"/>
        <w:rPr>
          <w:rFonts w:ascii="FangSong_GB2312" w:hAnsi="FangSong_GB2312" w:cs="FangSong_GB2312"/>
          <w:szCs w:val="32"/>
        </w:rPr>
      </w:pPr>
    </w:p>
    <w:p>
      <w:pPr>
        <w:spacing w:line="680" w:lineRule="exact"/>
        <w:jc w:val="center"/>
        <w:rPr>
          <w:rFonts w:ascii="FangSong_GB2312" w:hAnsi="FangSong_GB2312" w:cs="FangSong_GB2312"/>
          <w:szCs w:val="32"/>
        </w:rPr>
      </w:pPr>
    </w:p>
    <w:p>
      <w:pPr>
        <w:spacing w:line="680" w:lineRule="exact"/>
        <w:jc w:val="center"/>
        <w:rPr>
          <w:rFonts w:ascii="FangSong_GB2312" w:hAnsi="FangSong_GB2312" w:cs="FangSong_GB2312"/>
          <w:szCs w:val="32"/>
        </w:rPr>
      </w:pPr>
    </w:p>
    <w:p>
      <w:pPr>
        <w:spacing w:line="680" w:lineRule="exact"/>
        <w:jc w:val="center"/>
        <w:rPr>
          <w:rFonts w:ascii="FangSong_GB2312" w:hAnsi="FangSong_GB2312" w:cs="FangSong_GB2312"/>
          <w:szCs w:val="32"/>
        </w:rPr>
      </w:pPr>
    </w:p>
    <w:p>
      <w:pPr>
        <w:spacing w:line="560" w:lineRule="exact"/>
        <w:jc w:val="center"/>
        <w:rPr>
          <w:rFonts w:ascii="FangSong_GB2312" w:hAnsi="FangSong_GB2312" w:cs="FangSong_GB2312"/>
          <w:szCs w:val="32"/>
        </w:rPr>
      </w:pPr>
      <w:r>
        <w:rPr>
          <w:rFonts w:hint="eastAsia" w:ascii="FangSong_GB2312" w:hAnsi="FangSong_GB2312" w:cs="FangSong_GB2312"/>
          <w:szCs w:val="32"/>
        </w:rPr>
        <w:t>粤律协〔202</w:t>
      </w:r>
      <w:r>
        <w:rPr>
          <w:rFonts w:hint="eastAsia" w:ascii="FangSong_GB2312" w:hAnsi="FangSong_GB2312" w:cs="FangSong_GB2312"/>
          <w:szCs w:val="32"/>
          <w:lang w:val="en-US" w:eastAsia="zh-CN"/>
        </w:rPr>
        <w:t>4</w:t>
      </w:r>
      <w:r>
        <w:rPr>
          <w:rFonts w:hint="eastAsia" w:ascii="FangSong_GB2312" w:hAnsi="FangSong_GB2312" w:cs="FangSong_GB2312"/>
          <w:szCs w:val="32"/>
        </w:rPr>
        <w:t>〕</w:t>
      </w:r>
      <w:r>
        <w:rPr>
          <w:rFonts w:hint="eastAsia" w:ascii="FangSong_GB2312" w:hAnsi="FangSong_GB2312" w:cs="FangSong_GB2312"/>
          <w:szCs w:val="32"/>
          <w:lang w:val="en-US" w:eastAsia="zh-CN"/>
        </w:rPr>
        <w:t>18</w:t>
      </w:r>
      <w:r>
        <w:rPr>
          <w:rFonts w:hint="eastAsia" w:ascii="FangSong_GB2312" w:hAnsi="FangSong_GB2312" w:cs="FangSong_GB2312"/>
          <w:szCs w:val="32"/>
        </w:rPr>
        <w:t>号</w:t>
      </w:r>
    </w:p>
    <w:p>
      <w:pPr>
        <w:spacing w:line="680" w:lineRule="exact"/>
        <w:jc w:val="center"/>
        <w:rPr>
          <w:rFonts w:ascii="FangSong_GB2312" w:hAnsi="FangSong_GB2312" w:cs="FangSong_GB2312"/>
          <w:szCs w:val="32"/>
        </w:rPr>
      </w:pPr>
    </w:p>
    <w:p>
      <w:pPr>
        <w:spacing w:line="68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关于举办广东省涉外律师人才研修班（</w:t>
      </w:r>
      <w:r>
        <w:rPr>
          <w:rFonts w:hint="eastAsia" w:ascii="方正小标宋简体" w:hAnsi="方正小标宋简体" w:eastAsia="方正小标宋简体" w:cs="方正小标宋简体"/>
          <w:kern w:val="2"/>
          <w:sz w:val="44"/>
          <w:szCs w:val="44"/>
          <w:lang w:val="en-US" w:eastAsia="zh-CN" w:bidi="ar-SA"/>
        </w:rPr>
        <w:t>涉外知识产权与信息安全专题②</w:t>
      </w:r>
      <w:r>
        <w:rPr>
          <w:rFonts w:hint="eastAsia" w:ascii="方正小标宋简体" w:hAnsi="方正小标宋简体" w:eastAsia="方正小标宋简体" w:cs="方正小标宋简体"/>
          <w:sz w:val="44"/>
          <w:szCs w:val="44"/>
        </w:rPr>
        <w:t>）的通知</w:t>
      </w:r>
    </w:p>
    <w:p>
      <w:pPr>
        <w:widowControl/>
        <w:spacing w:line="560" w:lineRule="exact"/>
        <w:rPr>
          <w:rFonts w:ascii="FangSong_GB2312" w:hAnsi="FangSong_GB2312" w:cs="FangSong_GB2312"/>
          <w:szCs w:val="32"/>
        </w:rPr>
      </w:pPr>
    </w:p>
    <w:p>
      <w:pPr>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各地级以上市律师协会：</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kern w:val="2"/>
          <w:sz w:val="32"/>
          <w:szCs w:val="32"/>
          <w:lang w:val="en-US" w:eastAsia="zh-CN" w:bidi="ar-SA"/>
        </w:rPr>
        <w:t>为</w:t>
      </w:r>
      <w:r>
        <w:rPr>
          <w:rFonts w:hint="eastAsia" w:ascii="仿宋_GB2312" w:hAnsi="仿宋_GB2312" w:eastAsia="仿宋_GB2312" w:cs="仿宋_GB2312"/>
          <w:sz w:val="32"/>
          <w:szCs w:val="20"/>
          <w:lang w:val="en-US" w:eastAsia="zh-CN"/>
        </w:rPr>
        <w:t>提升我省律师在涉外知识产权保护、国际网络信息安全和数据安全以及涉外知识产权争议解决等方面的能力水平</w:t>
      </w:r>
      <w:r>
        <w:rPr>
          <w:rFonts w:hint="eastAsia" w:ascii="仿宋_GB2312" w:hAnsi="仿宋_GB2312" w:eastAsia="仿宋_GB2312" w:cs="仿宋_GB2312"/>
          <w:szCs w:val="32"/>
        </w:rPr>
        <w:t>，省司法厅、省律协定于202</w:t>
      </w:r>
      <w:r>
        <w:rPr>
          <w:rFonts w:hint="eastAsia" w:ascii="仿宋_GB2312" w:hAnsi="仿宋_GB2312" w:eastAsia="仿宋_GB2312" w:cs="仿宋_GB2312"/>
          <w:szCs w:val="32"/>
          <w:lang w:val="en-US" w:eastAsia="zh-CN"/>
        </w:rPr>
        <w:t>4</w:t>
      </w:r>
      <w:r>
        <w:rPr>
          <w:rFonts w:hint="eastAsia" w:ascii="仿宋_GB2312" w:hAnsi="仿宋_GB2312" w:eastAsia="仿宋_GB2312" w:cs="仿宋_GB2312"/>
          <w:szCs w:val="32"/>
        </w:rPr>
        <w:t>年</w:t>
      </w:r>
      <w:r>
        <w:rPr>
          <w:rFonts w:hint="eastAsia" w:ascii="仿宋_GB2312" w:hAnsi="仿宋_GB2312" w:eastAsia="仿宋_GB2312" w:cs="仿宋_GB2312"/>
          <w:szCs w:val="32"/>
          <w:lang w:val="en-US" w:eastAsia="zh-CN"/>
        </w:rPr>
        <w:t>4</w:t>
      </w:r>
      <w:r>
        <w:rPr>
          <w:rFonts w:hint="eastAsia" w:ascii="仿宋_GB2312" w:hAnsi="仿宋_GB2312" w:eastAsia="仿宋_GB2312" w:cs="仿宋_GB2312"/>
          <w:szCs w:val="32"/>
        </w:rPr>
        <w:t>月</w:t>
      </w:r>
      <w:r>
        <w:rPr>
          <w:rFonts w:hint="eastAsia" w:ascii="仿宋_GB2312" w:hAnsi="仿宋_GB2312" w:eastAsia="仿宋_GB2312" w:cs="仿宋_GB2312"/>
          <w:szCs w:val="32"/>
          <w:lang w:val="en-US" w:eastAsia="zh-CN"/>
        </w:rPr>
        <w:t>中上</w:t>
      </w:r>
      <w:r>
        <w:rPr>
          <w:rFonts w:hint="eastAsia" w:ascii="仿宋_GB2312" w:hAnsi="仿宋_GB2312" w:eastAsia="仿宋_GB2312" w:cs="仿宋_GB2312"/>
          <w:szCs w:val="32"/>
        </w:rPr>
        <w:t>旬举办广东省涉外律师人才研修班（涉外知识产权与信息安全专题</w:t>
      </w:r>
      <w:r>
        <w:rPr>
          <w:rFonts w:hint="eastAsia" w:ascii="仿宋_GB2312" w:hAnsi="仿宋_GB2312" w:eastAsia="仿宋_GB2312" w:cs="仿宋_GB2312"/>
          <w:szCs w:val="32"/>
          <w:lang w:val="en-US" w:eastAsia="zh-CN"/>
        </w:rPr>
        <w:t>②</w:t>
      </w:r>
      <w:r>
        <w:rPr>
          <w:rFonts w:hint="eastAsia" w:ascii="仿宋_GB2312" w:hAnsi="仿宋_GB2312" w:eastAsia="仿宋_GB2312" w:cs="仿宋_GB2312"/>
          <w:szCs w:val="32"/>
        </w:rPr>
        <w:t>），现将有关事项通知如下：</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黑体" w:hAnsi="黑体" w:eastAsia="黑体" w:cs="黑体"/>
          <w:highlight w:val="none"/>
        </w:rPr>
      </w:pPr>
      <w:r>
        <w:rPr>
          <w:rFonts w:hint="eastAsia" w:ascii="黑体" w:hAnsi="黑体" w:eastAsia="黑体" w:cs="黑体"/>
          <w:highlight w:val="none"/>
        </w:rPr>
        <w:t>一、举办机构</w:t>
      </w:r>
    </w:p>
    <w:p>
      <w:pPr>
        <w:pStyle w:val="5"/>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20"/>
          <w:highlight w:val="none"/>
        </w:rPr>
      </w:pPr>
      <w:r>
        <w:rPr>
          <w:rFonts w:hint="eastAsia" w:ascii="仿宋_GB2312" w:hAnsi="仿宋_GB2312" w:eastAsia="仿宋_GB2312" w:cs="仿宋_GB2312"/>
          <w:sz w:val="32"/>
          <w:szCs w:val="20"/>
          <w:highlight w:val="none"/>
        </w:rPr>
        <w:t>主办单位：广东省司法厅、广东省律师协会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highlight w:val="none"/>
          <w:lang w:val="en-US" w:eastAsia="zh-CN"/>
        </w:rPr>
      </w:pPr>
      <w:r>
        <w:rPr>
          <w:rFonts w:hint="eastAsia" w:ascii="仿宋_GB2312" w:hAnsi="仿宋_GB2312" w:eastAsia="仿宋_GB2312" w:cs="仿宋_GB2312"/>
          <w:highlight w:val="none"/>
        </w:rPr>
        <w:t>承办单位：</w:t>
      </w:r>
      <w:r>
        <w:rPr>
          <w:rFonts w:hint="eastAsia" w:ascii="仿宋_GB2312" w:hAnsi="仿宋_GB2312" w:eastAsia="仿宋_GB2312" w:cs="仿宋_GB2312"/>
          <w:highlight w:val="none"/>
          <w:lang w:val="en-US" w:eastAsia="zh-CN"/>
        </w:rPr>
        <w:t>中国人民大学</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黑体" w:hAnsi="黑体" w:eastAsia="黑体" w:cs="黑体"/>
          <w:highlight w:val="none"/>
        </w:rPr>
      </w:pPr>
      <w:r>
        <w:rPr>
          <w:rFonts w:hint="eastAsia" w:ascii="黑体" w:hAnsi="黑体" w:eastAsia="黑体" w:cs="黑体"/>
          <w:highlight w:val="none"/>
        </w:rPr>
        <w:t>二、培训时间</w:t>
      </w:r>
    </w:p>
    <w:p>
      <w:pPr>
        <w:pStyle w:val="5"/>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_GB2312" w:eastAsia="仿宋_GB2312" w:cs="仿宋_GB2312"/>
          <w:sz w:val="32"/>
          <w:szCs w:val="20"/>
          <w:highlight w:val="none"/>
          <w:lang w:val="en-US" w:eastAsia="zh-CN"/>
        </w:rPr>
      </w:pPr>
      <w:r>
        <w:rPr>
          <w:rFonts w:hint="eastAsia" w:ascii="仿宋_GB2312" w:hAnsi="仿宋_GB2312" w:eastAsia="仿宋_GB2312" w:cs="仿宋_GB2312"/>
          <w:sz w:val="32"/>
          <w:szCs w:val="20"/>
          <w:highlight w:val="none"/>
          <w:lang w:val="en-US" w:eastAsia="zh-CN"/>
        </w:rPr>
        <w:t>报到时间：2024年4月8日</w:t>
      </w:r>
    </w:p>
    <w:p>
      <w:pPr>
        <w:pStyle w:val="5"/>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20"/>
          <w:highlight w:val="none"/>
        </w:rPr>
      </w:pPr>
      <w:r>
        <w:rPr>
          <w:rFonts w:hint="eastAsia" w:ascii="仿宋_GB2312" w:hAnsi="仿宋_GB2312" w:eastAsia="仿宋_GB2312" w:cs="仿宋_GB2312"/>
          <w:sz w:val="32"/>
          <w:szCs w:val="20"/>
          <w:highlight w:val="none"/>
          <w:lang w:val="en-US" w:eastAsia="zh-CN"/>
        </w:rPr>
        <w:t>培训时间：2024年4月9日至4月18日（共10天）</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highlight w:val="none"/>
          <w:lang w:val="en-US" w:eastAsia="zh-CN"/>
        </w:rPr>
      </w:pPr>
      <w:r>
        <w:rPr>
          <w:rFonts w:hint="eastAsia" w:ascii="黑体" w:hAnsi="黑体" w:eastAsia="黑体" w:cs="黑体"/>
          <w:highlight w:val="none"/>
        </w:rPr>
        <w:t>三、培训</w:t>
      </w:r>
      <w:r>
        <w:rPr>
          <w:rFonts w:hint="eastAsia" w:ascii="黑体" w:hAnsi="黑体" w:eastAsia="黑体" w:cs="黑体"/>
          <w:highlight w:val="none"/>
          <w:lang w:val="en-US" w:eastAsia="zh-CN"/>
        </w:rPr>
        <w:t>地点</w:t>
      </w:r>
    </w:p>
    <w:p>
      <w:pPr>
        <w:pStyle w:val="5"/>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20"/>
          <w:highlight w:val="none"/>
          <w:lang w:val="en-US" w:eastAsia="zh-CN"/>
        </w:rPr>
      </w:pPr>
      <w:r>
        <w:rPr>
          <w:rFonts w:hint="eastAsia" w:ascii="仿宋_GB2312" w:hAnsi="仿宋_GB2312" w:eastAsia="仿宋_GB2312" w:cs="仿宋_GB2312"/>
          <w:sz w:val="32"/>
          <w:szCs w:val="20"/>
          <w:highlight w:val="none"/>
          <w:lang w:val="en-US" w:eastAsia="zh-CN"/>
        </w:rPr>
        <w:t>中国人民大学（地址：北京市海淀区中关村大街59号）</w:t>
      </w:r>
    </w:p>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黑体" w:hAnsi="黑体" w:eastAsia="黑体" w:cs="黑体"/>
          <w:kern w:val="2"/>
          <w:sz w:val="32"/>
          <w:lang w:val="en-US" w:eastAsia="zh-CN" w:bidi="ar-SA"/>
        </w:rPr>
      </w:pPr>
      <w:r>
        <w:rPr>
          <w:rFonts w:hint="default" w:ascii="黑体" w:hAnsi="黑体" w:eastAsia="黑体" w:cs="黑体"/>
          <w:kern w:val="2"/>
          <w:sz w:val="32"/>
          <w:lang w:val="en-US" w:eastAsia="zh-CN" w:bidi="ar-SA"/>
        </w:rPr>
        <w:t>四、课程及</w:t>
      </w:r>
      <w:r>
        <w:rPr>
          <w:rFonts w:hint="eastAsia" w:ascii="黑体" w:hAnsi="黑体" w:eastAsia="黑体" w:cs="黑体"/>
          <w:kern w:val="2"/>
          <w:sz w:val="32"/>
          <w:lang w:val="en-US" w:eastAsia="zh-CN" w:bidi="ar-SA"/>
        </w:rPr>
        <w:t>师资安排</w:t>
      </w:r>
    </w:p>
    <w:p>
      <w:pPr>
        <w:pStyle w:val="5"/>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_GB2312" w:eastAsia="仿宋_GB2312" w:cs="仿宋_GB2312"/>
          <w:sz w:val="32"/>
          <w:szCs w:val="20"/>
          <w:highlight w:val="none"/>
          <w:lang w:val="en-US" w:eastAsia="zh-CN"/>
        </w:rPr>
      </w:pPr>
      <w:r>
        <w:rPr>
          <w:rFonts w:hint="eastAsia" w:ascii="仿宋_GB2312" w:hAnsi="仿宋_GB2312" w:eastAsia="仿宋_GB2312" w:cs="仿宋_GB2312"/>
          <w:sz w:val="32"/>
          <w:szCs w:val="20"/>
          <w:highlight w:val="none"/>
          <w:lang w:val="en-US" w:eastAsia="zh-CN"/>
        </w:rPr>
        <w:t>课程聚焦创新型国家建设和高质量发展的内在要求，以涉外知识产权与信息安全为主题，邀请国内具有丰富教学经验和具备涉外知识产权实务经验的专家学者进行讲授。教学方式采取</w:t>
      </w:r>
      <w:r>
        <w:rPr>
          <w:rFonts w:hint="default" w:ascii="仿宋_GB2312" w:hAnsi="仿宋_GB2312" w:eastAsia="仿宋_GB2312" w:cs="仿宋_GB2312"/>
          <w:sz w:val="32"/>
          <w:szCs w:val="20"/>
          <w:highlight w:val="none"/>
          <w:lang w:val="en-US" w:eastAsia="zh-CN"/>
        </w:rPr>
        <w:t>重点课程讲授、案例分析与主题研讨和实务训练交流相结合方式。</w:t>
      </w:r>
      <w:r>
        <w:rPr>
          <w:rFonts w:hint="eastAsia" w:ascii="仿宋_GB2312" w:hAnsi="仿宋_GB2312" w:eastAsia="仿宋_GB2312" w:cs="仿宋_GB2312"/>
          <w:sz w:val="32"/>
          <w:szCs w:val="20"/>
          <w:highlight w:val="none"/>
          <w:lang w:val="en-US" w:eastAsia="zh-CN"/>
        </w:rPr>
        <w:t>（详见附件）</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黑体" w:hAnsi="黑体" w:eastAsia="黑体" w:cs="黑体"/>
          <w:highlight w:val="none"/>
        </w:rPr>
      </w:pPr>
      <w:r>
        <w:rPr>
          <w:rFonts w:hint="eastAsia" w:ascii="黑体" w:hAnsi="黑体" w:eastAsia="黑体" w:cs="黑体"/>
          <w:highlight w:val="none"/>
        </w:rPr>
        <w:t>五、参加人员</w:t>
      </w:r>
    </w:p>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Times New Roman" w:hAnsi="Times New Roman" w:cs="Times New Roman"/>
          <w:highlight w:val="none"/>
          <w:lang w:val="en-US" w:eastAsia="zh-CN"/>
        </w:rPr>
      </w:pPr>
      <w:r>
        <w:rPr>
          <w:rFonts w:hint="eastAsia" w:ascii="仿宋_GB2312" w:hAnsi="仿宋_GB2312" w:eastAsia="仿宋_GB2312" w:cs="仿宋_GB2312"/>
          <w:szCs w:val="32"/>
          <w:highlight w:val="none"/>
          <w:lang w:val="en-US" w:eastAsia="zh-CN"/>
        </w:rPr>
        <w:t>主要面向</w:t>
      </w:r>
      <w:r>
        <w:rPr>
          <w:rFonts w:hint="eastAsia" w:ascii="仿宋_GB2312" w:hAnsi="仿宋_GB2312" w:eastAsia="仿宋_GB2312" w:cs="仿宋_GB2312"/>
          <w:sz w:val="32"/>
          <w:szCs w:val="32"/>
        </w:rPr>
        <w:t>符合一定条件</w:t>
      </w:r>
      <w:r>
        <w:rPr>
          <w:rFonts w:hint="eastAsia" w:ascii="仿宋_GB2312" w:hAnsi="仿宋_GB2312" w:eastAsia="仿宋_GB2312" w:cs="仿宋_GB2312"/>
          <w:sz w:val="32"/>
          <w:szCs w:val="32"/>
          <w:lang w:val="en-US" w:eastAsia="zh-CN"/>
        </w:rPr>
        <w:t>且</w:t>
      </w:r>
      <w:r>
        <w:rPr>
          <w:rFonts w:hint="eastAsia" w:ascii="仿宋_GB2312" w:hAnsi="仿宋_GB2312" w:eastAsia="仿宋_GB2312" w:cs="仿宋_GB2312"/>
          <w:sz w:val="32"/>
          <w:szCs w:val="32"/>
        </w:rPr>
        <w:t>有意愿提升涉外知识产权</w:t>
      </w:r>
      <w:r>
        <w:rPr>
          <w:rFonts w:hint="eastAsia" w:ascii="仿宋_GB2312" w:hAnsi="仿宋_GB2312" w:eastAsia="仿宋_GB2312" w:cs="仿宋_GB2312"/>
          <w:sz w:val="32"/>
          <w:szCs w:val="32"/>
          <w:lang w:eastAsia="zh-CN"/>
        </w:rPr>
        <w:t>和国际网络信息安全领域</w:t>
      </w:r>
      <w:r>
        <w:rPr>
          <w:rFonts w:hint="eastAsia" w:ascii="仿宋_GB2312" w:hAnsi="仿宋_GB2312" w:eastAsia="仿宋_GB2312" w:cs="仿宋_GB2312"/>
          <w:sz w:val="32"/>
          <w:szCs w:val="32"/>
        </w:rPr>
        <w:t>实务能力</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省内执业律师。</w:t>
      </w:r>
      <w:r>
        <w:rPr>
          <w:rFonts w:hint="eastAsia" w:ascii="仿宋_GB2312" w:hAnsi="仿宋_GB2312" w:eastAsia="仿宋_GB2312" w:cs="仿宋_GB2312"/>
          <w:szCs w:val="32"/>
          <w:lang w:val="en-US" w:eastAsia="zh-CN"/>
        </w:rPr>
        <w:t>具体参训律师由省律协从涉外律师人才库、涉外委员会中遴选及各市律协推荐组成。</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highlight w:val="none"/>
          <w:lang w:val="en-US" w:eastAsia="zh-CN"/>
        </w:rPr>
      </w:pPr>
      <w:r>
        <w:rPr>
          <w:rFonts w:hint="eastAsia" w:ascii="楷体_GB2312" w:hAnsi="楷体_GB2312" w:eastAsia="楷体_GB2312" w:cs="楷体_GB2312"/>
          <w:highlight w:val="none"/>
          <w:lang w:val="en-US" w:eastAsia="zh-CN"/>
        </w:rPr>
        <w:t>（一）参训条件</w:t>
      </w:r>
    </w:p>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_GB2312" w:hAnsi="仿宋_GB2312" w:eastAsia="仿宋_GB2312" w:cs="仿宋_GB2312"/>
          <w:szCs w:val="32"/>
          <w:lang w:val="en-US" w:eastAsia="zh-CN"/>
        </w:rPr>
      </w:pPr>
      <w:r>
        <w:rPr>
          <w:rFonts w:hint="eastAsia" w:ascii="仿宋_GB2312" w:hAnsi="仿宋_GB2312" w:cs="仿宋_GB2312"/>
          <w:lang w:val="en-US" w:eastAsia="zh-CN"/>
        </w:rPr>
        <w:t>1.</w:t>
      </w:r>
      <w:r>
        <w:rPr>
          <w:rFonts w:hint="eastAsia" w:ascii="仿宋_GB2312" w:hAnsi="仿宋_GB2312" w:eastAsia="仿宋_GB2312" w:cs="仿宋_GB2312"/>
          <w:szCs w:val="32"/>
          <w:lang w:val="en-US" w:eastAsia="zh-CN"/>
        </w:rPr>
        <w:t>以习近平新时代中国特色社会主义思想为指导，深入学习贯彻习近平法治思想，拥护中国共产党领导、拥护社会主义法治，自觉遵守宪法、法律；</w:t>
      </w:r>
    </w:p>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_GB2312" w:hAnsi="仿宋_GB2312" w:cs="仿宋_GB2312"/>
          <w:lang w:val="en-US" w:eastAsia="zh-CN"/>
        </w:rPr>
      </w:pPr>
      <w:r>
        <w:rPr>
          <w:rFonts w:hint="default" w:ascii="仿宋_GB2312" w:hAnsi="仿宋_GB2312" w:cs="仿宋_GB2312"/>
          <w:lang w:val="en-US" w:eastAsia="zh-CN"/>
        </w:rPr>
        <w:t>2</w:t>
      </w:r>
      <w:r>
        <w:rPr>
          <w:rFonts w:hint="eastAsia" w:ascii="仿宋_GB2312" w:hAnsi="仿宋_GB2312" w:cs="仿宋_GB2312"/>
          <w:lang w:val="en-US" w:eastAsia="zh-CN"/>
        </w:rPr>
        <w:t>.</w:t>
      </w:r>
      <w:r>
        <w:rPr>
          <w:rFonts w:hint="eastAsia" w:ascii="仿宋_GB2312" w:hAnsi="仿宋_GB2312" w:eastAsia="仿宋_GB2312" w:cs="仿宋_GB2312"/>
          <w:sz w:val="32"/>
          <w:szCs w:val="20"/>
        </w:rPr>
        <w:t>执业期间没有因违法违规执业受到过行政处罚或者行业处分</w:t>
      </w:r>
      <w:r>
        <w:rPr>
          <w:rFonts w:hint="eastAsia" w:ascii="仿宋_GB2312" w:hAnsi="仿宋_GB2312" w:cs="仿宋_GB2312"/>
          <w:lang w:val="en-US" w:eastAsia="zh-CN"/>
        </w:rPr>
        <w:t>；</w:t>
      </w:r>
    </w:p>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_GB2312" w:hAnsi="仿宋_GB2312" w:cs="仿宋_GB2312"/>
          <w:lang w:val="en-US" w:eastAsia="zh-CN"/>
        </w:rPr>
      </w:pPr>
      <w:r>
        <w:rPr>
          <w:rFonts w:hint="eastAsia" w:ascii="仿宋_GB2312" w:hAnsi="仿宋_GB2312" w:cs="仿宋_GB2312"/>
          <w:lang w:val="en-US" w:eastAsia="zh-CN"/>
        </w:rPr>
        <w:t>3.</w:t>
      </w:r>
      <w:r>
        <w:rPr>
          <w:rFonts w:hint="eastAsia" w:ascii="仿宋_GB2312" w:hAnsi="仿宋_GB2312" w:eastAsia="仿宋_GB2312" w:cs="仿宋_GB2312"/>
          <w:sz w:val="32"/>
          <w:szCs w:val="20"/>
        </w:rPr>
        <w:t>具有良好的外语水平，能够运用外语作为工作语言办理涉外法律事务的省内执业律师；</w:t>
      </w:r>
    </w:p>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_GB2312" w:hAnsi="仿宋_GB2312" w:cs="仿宋_GB2312"/>
          <w:lang w:val="en-US" w:eastAsia="zh-CN"/>
        </w:rPr>
      </w:pPr>
      <w:r>
        <w:rPr>
          <w:rFonts w:hint="eastAsia" w:ascii="仿宋_GB2312" w:hAnsi="仿宋_GB2312" w:cs="仿宋_GB2312"/>
          <w:lang w:val="en-US" w:eastAsia="zh-CN"/>
        </w:rPr>
        <w:t>4.</w:t>
      </w:r>
      <w:r>
        <w:rPr>
          <w:rFonts w:hint="eastAsia" w:ascii="仿宋_GB2312" w:hAnsi="仿宋_GB2312" w:eastAsia="仿宋_GB2312" w:cs="仿宋_GB2312"/>
          <w:lang w:val="en-US" w:eastAsia="zh-CN"/>
        </w:rPr>
        <w:t>身体健康，能保障研修学习时间，积极参与研修活动，研修期间原则上不得请假及提前结束研修。</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rPr>
      </w:pPr>
      <w:r>
        <w:rPr>
          <w:rFonts w:hint="eastAsia" w:ascii="楷体_GB2312" w:hAnsi="楷体_GB2312" w:eastAsia="楷体_GB2312" w:cs="楷体_GB2312"/>
        </w:rPr>
        <w:t>（二）名额分配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cs="仿宋_GB2312"/>
          <w:highlight w:val="none"/>
          <w:lang w:eastAsia="zh-CN"/>
        </w:rPr>
      </w:pPr>
      <w:r>
        <w:rPr>
          <w:rFonts w:hint="eastAsia" w:ascii="仿宋_GB2312" w:hAnsi="仿宋_GB2312" w:eastAsia="仿宋_GB2312" w:cs="仿宋_GB2312"/>
          <w:highlight w:val="none"/>
        </w:rPr>
        <w:t>共</w:t>
      </w:r>
      <w:r>
        <w:rPr>
          <w:rFonts w:hint="eastAsia" w:ascii="仿宋_GB2312" w:hAnsi="仿宋_GB2312" w:cs="仿宋_GB2312"/>
          <w:highlight w:val="none"/>
          <w:lang w:val="en-US" w:eastAsia="zh-CN"/>
        </w:rPr>
        <w:t>100</w:t>
      </w:r>
      <w:r>
        <w:rPr>
          <w:rFonts w:hint="eastAsia" w:ascii="仿宋_GB2312" w:hAnsi="仿宋_GB2312" w:eastAsia="仿宋_GB2312" w:cs="仿宋_GB2312"/>
          <w:highlight w:val="none"/>
        </w:rPr>
        <w:t>名，具体分配建议如下</w:t>
      </w:r>
      <w:r>
        <w:rPr>
          <w:rFonts w:hint="eastAsia" w:ascii="仿宋_GB2312" w:hAnsi="仿宋_GB2312" w:cs="仿宋_GB231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cs="仿宋_GB2312"/>
          <w:highlight w:val="none"/>
          <w:lang w:val="en-US" w:eastAsia="zh-CN"/>
        </w:rPr>
        <w:t>（1）</w:t>
      </w:r>
      <w:r>
        <w:rPr>
          <w:rFonts w:hint="eastAsia" w:ascii="仿宋_GB2312" w:hAnsi="仿宋_GB2312" w:eastAsia="仿宋_GB2312" w:cs="仿宋_GB2312"/>
          <w:highlight w:val="none"/>
        </w:rPr>
        <w:t>广东省涉外律师人才库、涉外委员会等</w:t>
      </w:r>
      <w:r>
        <w:rPr>
          <w:rFonts w:hint="eastAsia" w:ascii="仿宋_GB2312" w:hAnsi="仿宋_GB2312" w:cs="仿宋_GB2312"/>
          <w:sz w:val="32"/>
          <w:szCs w:val="32"/>
          <w:highlight w:val="none"/>
          <w:lang w:val="en-US" w:eastAsia="zh-CN"/>
        </w:rPr>
        <w:t>10</w:t>
      </w:r>
      <w:r>
        <w:rPr>
          <w:rFonts w:hint="default" w:ascii="仿宋_GB2312" w:hAnsi="仿宋_GB2312" w:eastAsia="仿宋_GB2312" w:cs="仿宋_GB2312"/>
          <w:sz w:val="32"/>
          <w:szCs w:val="32"/>
          <w:highlight w:val="none"/>
          <w:lang w:val="en-US" w:eastAsia="zh-CN"/>
        </w:rPr>
        <w:t>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cs="仿宋_GB2312"/>
          <w:sz w:val="32"/>
          <w:szCs w:val="32"/>
          <w:highlight w:val="none"/>
          <w:lang w:val="en-US" w:eastAsia="zh-CN"/>
        </w:rPr>
        <w:t>（2）</w:t>
      </w:r>
      <w:r>
        <w:rPr>
          <w:rFonts w:hint="default" w:ascii="仿宋_GB2312" w:hAnsi="仿宋_GB2312" w:eastAsia="仿宋_GB2312" w:cs="仿宋_GB2312"/>
          <w:sz w:val="32"/>
          <w:szCs w:val="32"/>
          <w:highlight w:val="none"/>
          <w:lang w:val="en-US" w:eastAsia="zh-CN"/>
        </w:rPr>
        <w:t>各市律师协会：广州、深圳各</w:t>
      </w:r>
      <w:r>
        <w:rPr>
          <w:rFonts w:hint="eastAsia" w:ascii="仿宋_GB2312" w:hAnsi="仿宋_GB2312" w:cs="仿宋_GB2312"/>
          <w:sz w:val="32"/>
          <w:szCs w:val="32"/>
          <w:highlight w:val="none"/>
          <w:lang w:val="en-US" w:eastAsia="zh-CN"/>
        </w:rPr>
        <w:t>15</w:t>
      </w:r>
      <w:r>
        <w:rPr>
          <w:rFonts w:hint="default" w:ascii="仿宋_GB2312" w:hAnsi="仿宋_GB2312" w:eastAsia="仿宋_GB2312" w:cs="仿宋_GB2312"/>
          <w:sz w:val="32"/>
          <w:szCs w:val="32"/>
          <w:highlight w:val="none"/>
          <w:lang w:val="en-US" w:eastAsia="zh-CN"/>
        </w:rPr>
        <w:t>名，珠海</w:t>
      </w:r>
      <w:r>
        <w:rPr>
          <w:rFonts w:hint="eastAsia" w:ascii="仿宋_GB2312" w:hAnsi="仿宋_GB2312" w:cs="仿宋_GB2312"/>
          <w:sz w:val="32"/>
          <w:szCs w:val="32"/>
          <w:highlight w:val="none"/>
          <w:lang w:val="en-US" w:eastAsia="zh-CN"/>
        </w:rPr>
        <w:t>、</w:t>
      </w:r>
      <w:r>
        <w:rPr>
          <w:rFonts w:hint="default" w:ascii="仿宋_GB2312" w:hAnsi="仿宋_GB2312" w:eastAsia="仿宋_GB2312" w:cs="仿宋_GB2312"/>
          <w:sz w:val="32"/>
          <w:szCs w:val="32"/>
          <w:highlight w:val="none"/>
          <w:lang w:val="en-US" w:eastAsia="zh-CN"/>
        </w:rPr>
        <w:t>佛山、东莞各</w:t>
      </w:r>
      <w:r>
        <w:rPr>
          <w:rFonts w:hint="eastAsia" w:ascii="仿宋_GB2312" w:hAnsi="仿宋_GB2312" w:cs="仿宋_GB2312"/>
          <w:sz w:val="32"/>
          <w:szCs w:val="32"/>
          <w:highlight w:val="none"/>
          <w:lang w:val="en-US" w:eastAsia="zh-CN"/>
        </w:rPr>
        <w:t>8</w:t>
      </w:r>
      <w:r>
        <w:rPr>
          <w:rFonts w:hint="default" w:ascii="仿宋_GB2312" w:hAnsi="仿宋_GB2312" w:eastAsia="仿宋_GB2312" w:cs="仿宋_GB2312"/>
          <w:sz w:val="32"/>
          <w:szCs w:val="32"/>
          <w:highlight w:val="none"/>
          <w:lang w:val="en-US" w:eastAsia="zh-CN"/>
        </w:rPr>
        <w:t>名，中山、惠州、江门、肇庆各3名，粤东西北地区每市各2名。</w:t>
      </w:r>
    </w:p>
    <w:p>
      <w:pPr>
        <w:pStyle w:val="4"/>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Cs w:val="32"/>
          <w:highlight w:val="none"/>
          <w:lang w:val="en-US" w:eastAsia="zh-CN"/>
        </w:rPr>
      </w:pPr>
      <w:r>
        <w:rPr>
          <w:rFonts w:hint="default" w:ascii="仿宋_GB2312" w:hAnsi="仿宋_GB2312" w:eastAsia="仿宋_GB2312" w:cs="仿宋_GB2312"/>
          <w:szCs w:val="32"/>
          <w:highlight w:val="none"/>
          <w:lang w:val="en-US" w:eastAsia="zh-CN"/>
        </w:rPr>
        <w:t>省律协将结合报名情况作调剂。</w:t>
      </w:r>
    </w:p>
    <w:p>
      <w:pPr>
        <w:pStyle w:val="4"/>
        <w:spacing w:line="560" w:lineRule="exact"/>
        <w:ind w:firstLine="640" w:firstLineChars="200"/>
        <w:rPr>
          <w:rFonts w:ascii="黑体" w:hAnsi="黑体" w:eastAsia="黑体"/>
        </w:rPr>
      </w:pPr>
      <w:r>
        <w:rPr>
          <w:rFonts w:hint="eastAsia" w:ascii="黑体" w:hAnsi="黑体" w:eastAsia="黑体"/>
        </w:rPr>
        <w:t>六、其他安排</w:t>
      </w:r>
    </w:p>
    <w:p>
      <w:pPr>
        <w:spacing w:line="560" w:lineRule="exact"/>
        <w:ind w:firstLine="640" w:firstLineChars="200"/>
        <w:rPr>
          <w:rFonts w:hint="eastAsia" w:ascii="楷体_GB2312" w:hAnsi="楷体_GB2312" w:eastAsia="楷体_GB2312" w:cs="楷体_GB2312"/>
          <w:szCs w:val="32"/>
        </w:rPr>
      </w:pPr>
      <w:r>
        <w:rPr>
          <w:rFonts w:hint="eastAsia" w:ascii="楷体_GB2312" w:hAnsi="楷体_GB2312" w:eastAsia="楷体_GB2312" w:cs="楷体_GB2312"/>
          <w:szCs w:val="32"/>
        </w:rPr>
        <w:t>（一）报名安排</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1.本次研修班采用在线报名形式，请各市律协按要求组织本市符合条件的律师登录广东一带一路法律服务平台（网址：https://gdbr.org.cn/v/event/?open_match=63）</w:t>
      </w:r>
      <w:r>
        <w:rPr>
          <w:rFonts w:hint="eastAsia" w:ascii="仿宋_GB2312" w:hAnsi="仿宋_GB2312" w:eastAsia="仿宋_GB2312" w:cs="仿宋_GB2312"/>
          <w:szCs w:val="32"/>
          <w:lang w:val="en-US" w:eastAsia="zh-CN"/>
        </w:rPr>
        <w:t>或扫描下方二维码</w:t>
      </w:r>
      <w:r>
        <w:rPr>
          <w:rFonts w:hint="eastAsia" w:ascii="仿宋_GB2312" w:hAnsi="仿宋_GB2312" w:eastAsia="仿宋_GB2312" w:cs="仿宋_GB2312"/>
          <w:szCs w:val="32"/>
        </w:rPr>
        <w:t>报名，并提交参训承诺书。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Cs w:val="32"/>
          <w:lang w:eastAsia="zh-CN"/>
        </w:rPr>
      </w:pPr>
      <w:r>
        <w:rPr>
          <w:rFonts w:hint="eastAsia" w:ascii="仿宋_GB2312" w:hAnsi="仿宋_GB2312" w:eastAsia="仿宋_GB2312" w:cs="仿宋_GB2312"/>
          <w:szCs w:val="32"/>
          <w:lang w:eastAsia="zh-CN"/>
        </w:rPr>
        <w:drawing>
          <wp:anchor distT="0" distB="0" distL="114300" distR="114300" simplePos="0" relativeHeight="251659264" behindDoc="0" locked="0" layoutInCell="1" allowOverlap="1">
            <wp:simplePos x="0" y="0"/>
            <wp:positionH relativeFrom="column">
              <wp:posOffset>1552575</wp:posOffset>
            </wp:positionH>
            <wp:positionV relativeFrom="page">
              <wp:posOffset>7386955</wp:posOffset>
            </wp:positionV>
            <wp:extent cx="2137410" cy="1817370"/>
            <wp:effectExtent l="0" t="0" r="15240" b="11430"/>
            <wp:wrapTopAndBottom/>
            <wp:docPr id="2" name="图片 2" descr="113c0284dee799a769a9be19ee507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13c0284dee799a769a9be19ee50701"/>
                    <pic:cNvPicPr>
                      <a:picLocks noChangeAspect="1"/>
                    </pic:cNvPicPr>
                  </pic:nvPicPr>
                  <pic:blipFill>
                    <a:blip r:embed="rId6"/>
                    <a:stretch>
                      <a:fillRect/>
                    </a:stretch>
                  </pic:blipFill>
                  <pic:spPr>
                    <a:xfrm>
                      <a:off x="0" y="0"/>
                      <a:ext cx="2137410" cy="1817370"/>
                    </a:xfrm>
                    <a:prstGeom prst="rect">
                      <a:avLst/>
                    </a:prstGeom>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2.本次研修班采用在线审核形式，请各市律协于202</w:t>
      </w:r>
      <w:r>
        <w:rPr>
          <w:rFonts w:hint="eastAsia" w:ascii="仿宋_GB2312" w:hAnsi="仿宋_GB2312" w:eastAsia="仿宋_GB2312" w:cs="仿宋_GB2312"/>
          <w:szCs w:val="32"/>
          <w:lang w:val="en-US" w:eastAsia="zh-CN"/>
        </w:rPr>
        <w:t>4</w:t>
      </w:r>
      <w:r>
        <w:rPr>
          <w:rFonts w:hint="eastAsia" w:ascii="仿宋_GB2312" w:hAnsi="仿宋_GB2312" w:eastAsia="仿宋_GB2312" w:cs="仿宋_GB2312"/>
          <w:szCs w:val="32"/>
        </w:rPr>
        <w:t>年</w:t>
      </w:r>
      <w:r>
        <w:rPr>
          <w:rFonts w:hint="eastAsia" w:ascii="仿宋_GB2312" w:hAnsi="仿宋_GB2312" w:eastAsia="仿宋_GB2312" w:cs="仿宋_GB2312"/>
          <w:szCs w:val="32"/>
          <w:lang w:val="en-US" w:eastAsia="zh-CN"/>
        </w:rPr>
        <w:t>3</w:t>
      </w:r>
      <w:r>
        <w:rPr>
          <w:rFonts w:hint="eastAsia" w:ascii="仿宋_GB2312" w:hAnsi="仿宋_GB2312" w:eastAsia="仿宋_GB2312" w:cs="仿宋_GB2312"/>
          <w:szCs w:val="32"/>
        </w:rPr>
        <w:t>月</w:t>
      </w:r>
      <w:r>
        <w:rPr>
          <w:rFonts w:hint="eastAsia" w:ascii="仿宋_GB2312" w:hAnsi="仿宋_GB2312" w:eastAsia="仿宋_GB2312" w:cs="仿宋_GB2312"/>
          <w:szCs w:val="32"/>
          <w:lang w:val="en-US" w:eastAsia="zh-CN"/>
        </w:rPr>
        <w:t>28</w:t>
      </w:r>
      <w:r>
        <w:rPr>
          <w:rFonts w:hint="eastAsia" w:ascii="仿宋_GB2312" w:hAnsi="仿宋_GB2312" w:eastAsia="仿宋_GB2312" w:cs="仿宋_GB2312"/>
          <w:szCs w:val="32"/>
        </w:rPr>
        <w:t>日前登录广东一带一路法律服务网后台（网址：</w:t>
      </w:r>
      <w:r>
        <w:rPr>
          <w:rStyle w:val="11"/>
          <w:rFonts w:hint="eastAsia" w:ascii="仿宋_GB2312" w:hAnsi="仿宋_GB2312" w:eastAsia="仿宋_GB2312" w:cs="仿宋_GB2312"/>
          <w:color w:val="auto"/>
          <w:szCs w:val="32"/>
          <w:u w:val="none"/>
        </w:rPr>
        <w:t>https://gdbr.org.cn/adm/login/）在线完成本市参训人员审核工作并提交参训人员建议名单（含候补名单）。各市报名的律师如有临时退出的，省律协将根据先后顺序从候补名单中补充；如参训名单不满额将由各市补充参训律师。</w:t>
      </w:r>
    </w:p>
    <w:p>
      <w:pPr>
        <w:pStyle w:val="5"/>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3.请各市律协对照参训条件，认真遴选，推荐符合条件的律师参训。</w:t>
      </w:r>
    </w:p>
    <w:p>
      <w:pPr>
        <w:spacing w:line="560" w:lineRule="exact"/>
        <w:ind w:firstLine="640" w:firstLineChars="200"/>
        <w:rPr>
          <w:rFonts w:hint="eastAsia" w:ascii="楷体_GB2312" w:hAnsi="楷体_GB2312" w:eastAsia="楷体_GB2312" w:cs="楷体_GB2312"/>
          <w:szCs w:val="32"/>
        </w:rPr>
      </w:pPr>
      <w:r>
        <w:rPr>
          <w:rFonts w:hint="eastAsia" w:ascii="楷体_GB2312" w:hAnsi="楷体_GB2312" w:eastAsia="楷体_GB2312" w:cs="楷体_GB2312"/>
          <w:szCs w:val="32"/>
        </w:rPr>
        <w:t>（二）费用安排</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本次培训费用由省财政经费、省律协和参训律师（或参训律师所在律师事务所）共同承担。每位参训律师需承担约1/3的培训费用，即</w:t>
      </w:r>
      <w:r>
        <w:rPr>
          <w:rFonts w:hint="eastAsia" w:ascii="仿宋_GB2312" w:hAnsi="仿宋_GB2312" w:eastAsia="仿宋_GB2312" w:cs="仿宋_GB2312"/>
          <w:lang w:val="en-US" w:eastAsia="zh-CN"/>
        </w:rPr>
        <w:t>2790</w:t>
      </w:r>
      <w:r>
        <w:rPr>
          <w:rFonts w:hint="eastAsia" w:ascii="仿宋_GB2312" w:hAnsi="仿宋_GB2312" w:eastAsia="仿宋_GB2312" w:cs="仿宋_GB2312"/>
          <w:szCs w:val="32"/>
        </w:rPr>
        <w:t>元人民币/人，律师承担部分由参训律师（或参训律师所在律师事务所）直接支付至</w:t>
      </w:r>
      <w:r>
        <w:rPr>
          <w:rFonts w:hint="eastAsia" w:ascii="仿宋_GB2312" w:hAnsi="仿宋_GB2312" w:eastAsia="仿宋_GB2312" w:cs="仿宋_GB2312"/>
          <w:szCs w:val="32"/>
          <w:lang w:val="en-US" w:eastAsia="zh-CN"/>
        </w:rPr>
        <w:t>中国人民大学</w:t>
      </w:r>
      <w:r>
        <w:rPr>
          <w:rFonts w:hint="eastAsia" w:ascii="仿宋_GB2312" w:hAnsi="仿宋_GB2312" w:eastAsia="仿宋_GB2312" w:cs="仿宋_GB2312"/>
          <w:szCs w:val="32"/>
        </w:rPr>
        <w:t>，并由</w:t>
      </w:r>
      <w:r>
        <w:rPr>
          <w:rFonts w:hint="eastAsia" w:ascii="仿宋_GB2312" w:hAnsi="仿宋_GB2312" w:eastAsia="仿宋_GB2312" w:cs="仿宋_GB2312"/>
          <w:szCs w:val="32"/>
          <w:lang w:val="en-US" w:eastAsia="zh-CN"/>
        </w:rPr>
        <w:t>中国人民大学</w:t>
      </w:r>
      <w:r>
        <w:rPr>
          <w:rFonts w:hint="eastAsia" w:ascii="仿宋_GB2312" w:hAnsi="仿宋_GB2312" w:eastAsia="仿宋_GB2312" w:cs="仿宋_GB2312"/>
          <w:szCs w:val="32"/>
        </w:rPr>
        <w:t>出具发票。费用已含培训期间的食宿费用。</w:t>
      </w:r>
    </w:p>
    <w:p>
      <w:pPr>
        <w:spacing w:line="560" w:lineRule="exact"/>
        <w:ind w:firstLine="640" w:firstLineChars="200"/>
        <w:rPr>
          <w:rFonts w:hint="eastAsia" w:ascii="楷体_GB2312" w:hAnsi="楷体_GB2312" w:eastAsia="楷体_GB2312" w:cs="楷体_GB2312"/>
          <w:szCs w:val="32"/>
        </w:rPr>
      </w:pPr>
      <w:r>
        <w:rPr>
          <w:rFonts w:hint="eastAsia" w:ascii="楷体_GB2312" w:hAnsi="楷体_GB2312" w:eastAsia="楷体_GB2312" w:cs="楷体_GB2312"/>
          <w:szCs w:val="32"/>
        </w:rPr>
        <w:t>（三）食宿、交通安排</w:t>
      </w:r>
    </w:p>
    <w:p>
      <w:pPr>
        <w:spacing w:line="560" w:lineRule="exact"/>
        <w:ind w:firstLine="640" w:firstLineChars="200"/>
        <w:rPr>
          <w:rFonts w:hint="eastAsia" w:ascii="仿宋_GB2312" w:hAnsi="仿宋_GB2312" w:eastAsia="仿宋_GB2312" w:cs="仿宋_GB2312"/>
          <w:szCs w:val="32"/>
        </w:rPr>
      </w:pPr>
      <w:r>
        <w:rPr>
          <w:rFonts w:hint="eastAsia" w:ascii="仿宋_GB2312" w:hAnsi="仿宋_GB2312" w:eastAsia="仿宋_GB2312" w:cs="仿宋_GB2312"/>
          <w:szCs w:val="32"/>
        </w:rPr>
        <w:t>1.用餐及住宿由主办方统一安排；</w:t>
      </w:r>
    </w:p>
    <w:p>
      <w:pPr>
        <w:widowControl w:val="0"/>
        <w:spacing w:line="560" w:lineRule="exact"/>
        <w:ind w:firstLine="640" w:firstLineChars="200"/>
        <w:jc w:val="left"/>
        <w:rPr>
          <w:rFonts w:hint="eastAsia" w:ascii="仿宋_GB2312" w:hAnsi="仿宋_GB2312" w:eastAsia="仿宋_GB2312" w:cs="仿宋_GB2312"/>
          <w:szCs w:val="32"/>
        </w:rPr>
      </w:pPr>
      <w:r>
        <w:rPr>
          <w:rFonts w:hint="eastAsia" w:ascii="仿宋_GB2312" w:hAnsi="仿宋_GB2312" w:eastAsia="仿宋_GB2312" w:cs="仿宋_GB2312"/>
          <w:szCs w:val="32"/>
        </w:rPr>
        <w:t>2.住宿安排为两人一间的标准间，如需单人住宿，在酒店房源允许情况下可补差价单住；</w:t>
      </w:r>
    </w:p>
    <w:p>
      <w:pPr>
        <w:spacing w:line="560" w:lineRule="exact"/>
        <w:ind w:firstLine="640" w:firstLineChars="200"/>
        <w:rPr>
          <w:rFonts w:hint="eastAsia" w:ascii="仿宋_GB2312" w:hAnsi="仿宋_GB2312" w:eastAsia="仿宋_GB2312" w:cs="仿宋_GB2312"/>
          <w:szCs w:val="32"/>
        </w:rPr>
      </w:pPr>
      <w:r>
        <w:rPr>
          <w:rFonts w:hint="eastAsia" w:ascii="仿宋_GB2312" w:hAnsi="仿宋_GB2312" w:eastAsia="仿宋_GB2312" w:cs="仿宋_GB2312"/>
          <w:szCs w:val="32"/>
        </w:rPr>
        <w:t>3.除集体参访外，其他交通自行安排，费用自理。</w:t>
      </w:r>
    </w:p>
    <w:p>
      <w:pPr>
        <w:pStyle w:val="5"/>
        <w:spacing w:line="560" w:lineRule="exact"/>
        <w:ind w:left="0" w:leftChars="0"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（四）其他要求</w:t>
      </w:r>
    </w:p>
    <w:p>
      <w:pPr>
        <w:spacing w:line="560" w:lineRule="exact"/>
        <w:ind w:firstLine="640" w:firstLineChars="200"/>
        <w:rPr>
          <w:rFonts w:hint="eastAsia" w:ascii="仿宋_GB2312" w:hAnsi="仿宋_GB2312" w:eastAsia="仿宋_GB2312" w:cs="仿宋_GB2312"/>
          <w:szCs w:val="32"/>
        </w:rPr>
      </w:pPr>
      <w:r>
        <w:rPr>
          <w:rFonts w:hint="eastAsia" w:ascii="仿宋_GB2312" w:hAnsi="仿宋_GB2312" w:eastAsia="仿宋_GB2312" w:cs="仿宋_GB2312"/>
          <w:szCs w:val="32"/>
        </w:rPr>
        <w:t>1.培训期间需封闭管理，严格遵守学员手册、考勤制度等要求，如报名入选后退出或者培训中途退出，律师个人承担的费用将不予退回，且不能再被推荐参加今年省律协举办的培训活动。</w:t>
      </w:r>
    </w:p>
    <w:p>
      <w:pPr>
        <w:spacing w:line="560" w:lineRule="exact"/>
        <w:ind w:firstLine="640" w:firstLineChars="200"/>
        <w:rPr>
          <w:rFonts w:hint="eastAsia" w:ascii="仿宋_GB2312" w:hAnsi="仿宋_GB2312" w:eastAsia="仿宋_GB2312" w:cs="仿宋_GB2312"/>
          <w:szCs w:val="32"/>
        </w:rPr>
      </w:pPr>
      <w:r>
        <w:rPr>
          <w:rFonts w:hint="eastAsia" w:ascii="仿宋_GB2312" w:hAnsi="仿宋_GB2312" w:eastAsia="仿宋_GB2312" w:cs="仿宋_GB2312"/>
          <w:szCs w:val="32"/>
        </w:rPr>
        <w:t>2.培训结束后由</w:t>
      </w:r>
      <w:r>
        <w:rPr>
          <w:rFonts w:hint="eastAsia" w:ascii="仿宋_GB2312" w:hAnsi="仿宋_GB2312" w:eastAsia="仿宋_GB2312" w:cs="仿宋_GB2312"/>
          <w:szCs w:val="32"/>
          <w:lang w:val="en-US" w:eastAsia="zh-CN"/>
        </w:rPr>
        <w:t>中国人民大学</w:t>
      </w:r>
      <w:r>
        <w:rPr>
          <w:rFonts w:hint="eastAsia" w:ascii="仿宋_GB2312" w:hAnsi="仿宋_GB2312" w:eastAsia="仿宋_GB2312" w:cs="仿宋_GB2312"/>
          <w:szCs w:val="32"/>
        </w:rPr>
        <w:t>为完成课程的学员颁发结业证书，出勤率低于75%的学员将不予颁发结业证书。</w:t>
      </w:r>
    </w:p>
    <w:p>
      <w:pPr>
        <w:spacing w:line="560" w:lineRule="exact"/>
        <w:ind w:firstLine="640" w:firstLineChars="200"/>
        <w:rPr>
          <w:rFonts w:hint="eastAsia" w:ascii="仿宋_GB2312" w:hAnsi="仿宋_GB2312" w:eastAsia="仿宋_GB2312" w:cs="仿宋_GB2312"/>
          <w:szCs w:val="32"/>
        </w:rPr>
      </w:pPr>
      <w:r>
        <w:rPr>
          <w:rFonts w:hint="eastAsia" w:ascii="仿宋_GB2312" w:hAnsi="仿宋_GB2312" w:eastAsia="仿宋_GB2312" w:cs="仿宋_GB2312"/>
          <w:szCs w:val="32"/>
        </w:rPr>
        <w:t>3.培训结束前，每位参训律师需提交一篇不少于1000字的学习心得，以上成果将用于宣传工作，供我省涉外律师参考。</w:t>
      </w:r>
    </w:p>
    <w:p>
      <w:pPr>
        <w:spacing w:line="560" w:lineRule="exact"/>
        <w:ind w:firstLine="640" w:firstLineChars="200"/>
        <w:rPr>
          <w:rFonts w:hint="eastAsia" w:ascii="楷体_GB2312" w:hAnsi="楷体_GB2312" w:eastAsia="楷体_GB2312" w:cs="楷体_GB2312"/>
          <w:szCs w:val="32"/>
        </w:rPr>
      </w:pPr>
      <w:r>
        <w:rPr>
          <w:rFonts w:hint="eastAsia" w:ascii="楷体_GB2312" w:hAnsi="楷体_GB2312" w:eastAsia="楷体_GB2312" w:cs="楷体_GB2312"/>
          <w:szCs w:val="32"/>
        </w:rPr>
        <w:t>（五）培训结业的学员可按程序申报加入广东省涉外律师新锐人才库。</w:t>
      </w:r>
    </w:p>
    <w:p>
      <w:pPr>
        <w:spacing w:line="560" w:lineRule="exact"/>
        <w:ind w:firstLine="640" w:firstLineChars="200"/>
        <w:rPr>
          <w:rFonts w:ascii="KaiTi_GB2312" w:hAnsi="KaiTi_GB2312" w:eastAsia="KaiTi_GB2312" w:cs="KaiTi_GB2312"/>
          <w:szCs w:val="32"/>
        </w:rPr>
      </w:pPr>
      <w:r>
        <w:rPr>
          <w:rFonts w:hint="eastAsia" w:ascii="楷体_GB2312" w:hAnsi="楷体_GB2312" w:eastAsia="楷体_GB2312" w:cs="楷体_GB2312"/>
          <w:szCs w:val="32"/>
        </w:rPr>
        <w:t>（六）未尽事宜，另行通知。</w:t>
      </w:r>
    </w:p>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firstLine="640"/>
        <w:textAlignment w:val="auto"/>
        <w:rPr>
          <w:rFonts w:ascii="FangSong_GB2312" w:hAnsi="黑体"/>
          <w:szCs w:val="32"/>
        </w:rPr>
      </w:pPr>
    </w:p>
    <w:p>
      <w:pPr>
        <w:widowControl/>
        <w:spacing w:line="560" w:lineRule="exact"/>
        <w:ind w:firstLine="640" w:firstLineChars="200"/>
        <w:rPr>
          <w:rFonts w:hint="eastAsia" w:ascii="仿宋_GB2312" w:hAnsi="仿宋_GB2312" w:eastAsia="仿宋_GB2312" w:cs="仿宋_GB2312"/>
          <w:szCs w:val="32"/>
        </w:rPr>
      </w:pPr>
      <w:r>
        <w:rPr>
          <w:rFonts w:hint="eastAsia" w:ascii="仿宋_GB2312" w:hAnsi="仿宋_GB2312" w:eastAsia="仿宋_GB2312" w:cs="仿宋_GB2312"/>
          <w:szCs w:val="32"/>
        </w:rPr>
        <w:t>附件：1.课程安排</w:t>
      </w:r>
    </w:p>
    <w:p>
      <w:pPr>
        <w:widowControl/>
        <w:spacing w:line="560" w:lineRule="exact"/>
        <w:ind w:firstLine="1600" w:firstLineChars="500"/>
        <w:rPr>
          <w:rFonts w:hint="eastAsia" w:ascii="仿宋_GB2312" w:hAnsi="仿宋_GB2312" w:eastAsia="仿宋_GB2312" w:cs="仿宋_GB2312"/>
          <w:szCs w:val="32"/>
        </w:rPr>
      </w:pPr>
      <w:r>
        <w:rPr>
          <w:rFonts w:hint="eastAsia" w:ascii="仿宋_GB2312" w:hAnsi="仿宋_GB2312" w:eastAsia="仿宋_GB2312" w:cs="仿宋_GB2312"/>
          <w:szCs w:val="32"/>
        </w:rPr>
        <w:t>2.师资介绍</w:t>
      </w:r>
    </w:p>
    <w:p>
      <w:pPr>
        <w:widowControl/>
        <w:spacing w:line="560" w:lineRule="exact"/>
        <w:ind w:firstLine="1600" w:firstLineChars="500"/>
        <w:rPr>
          <w:rFonts w:hint="eastAsia" w:ascii="仿宋_GB2312" w:hAnsi="仿宋_GB2312" w:eastAsia="仿宋_GB2312" w:cs="仿宋_GB2312"/>
          <w:szCs w:val="32"/>
        </w:rPr>
      </w:pPr>
      <w:r>
        <w:rPr>
          <w:rFonts w:hint="eastAsia" w:ascii="仿宋_GB2312" w:hAnsi="仿宋_GB2312" w:eastAsia="仿宋_GB2312" w:cs="仿宋_GB2312"/>
          <w:szCs w:val="32"/>
        </w:rPr>
        <w:t>3.参训承诺书</w:t>
      </w:r>
    </w:p>
    <w:p>
      <w:pPr>
        <w:spacing w:line="560" w:lineRule="exact"/>
        <w:ind w:firstLine="640" w:firstLineChars="200"/>
        <w:jc w:val="left"/>
        <w:rPr>
          <w:rFonts w:hint="eastAsia" w:ascii="仿宋_GB2312" w:hAnsi="仿宋_GB2312" w:eastAsia="仿宋_GB2312" w:cs="仿宋_GB2312"/>
          <w:szCs w:val="32"/>
        </w:rPr>
      </w:pPr>
    </w:p>
    <w:p>
      <w:pPr>
        <w:spacing w:line="560" w:lineRule="exact"/>
        <w:ind w:firstLine="640" w:firstLineChars="200"/>
        <w:jc w:val="left"/>
        <w:rPr>
          <w:rFonts w:hint="eastAsia" w:ascii="仿宋_GB2312" w:hAnsi="仿宋_GB2312" w:eastAsia="仿宋_GB2312" w:cs="仿宋_GB2312"/>
          <w:szCs w:val="32"/>
        </w:rPr>
      </w:pPr>
    </w:p>
    <w:p>
      <w:pPr>
        <w:spacing w:line="560" w:lineRule="exact"/>
        <w:ind w:left="0" w:leftChars="0" w:firstLine="5120" w:firstLineChars="1600"/>
        <w:rPr>
          <w:rFonts w:hint="eastAsia" w:ascii="仿宋_GB2312" w:hAnsi="仿宋_GB2312" w:eastAsia="仿宋_GB2312" w:cs="仿宋_GB2312"/>
          <w:szCs w:val="32"/>
          <w:lang w:val="en-US" w:eastAsia="zh-CN"/>
        </w:rPr>
      </w:pPr>
      <w:r>
        <w:rPr>
          <w:rFonts w:hint="eastAsia" w:ascii="仿宋_GB2312" w:hAnsi="仿宋_GB2312" w:eastAsia="仿宋_GB2312" w:cs="仿宋_GB2312"/>
          <w:szCs w:val="32"/>
        </w:rPr>
        <w:t>广东省律师协会</w:t>
      </w:r>
      <w:r>
        <w:rPr>
          <w:rFonts w:hint="eastAsia" w:ascii="仿宋_GB2312" w:hAnsi="仿宋_GB2312" w:eastAsia="仿宋_GB2312" w:cs="仿宋_GB2312"/>
          <w:szCs w:val="32"/>
          <w:lang w:val="en-US" w:eastAsia="zh-CN"/>
        </w:rPr>
        <w:t xml:space="preserve"> </w:t>
      </w:r>
    </w:p>
    <w:p>
      <w:pPr>
        <w:spacing w:after="0" w:line="560" w:lineRule="exact"/>
        <w:ind w:firstLine="4800" w:firstLineChars="1500"/>
        <w:rPr>
          <w:rFonts w:hint="eastAsia" w:ascii="仿宋_GB2312" w:hAnsi="仿宋_GB2312" w:eastAsia="仿宋_GB2312" w:cs="仿宋_GB2312"/>
          <w:szCs w:val="32"/>
        </w:rPr>
      </w:pPr>
      <w:r>
        <w:rPr>
          <w:rFonts w:hint="eastAsia" w:ascii="仿宋_GB2312" w:hAnsi="仿宋_GB2312" w:eastAsia="仿宋_GB2312" w:cs="仿宋_GB2312"/>
          <w:szCs w:val="32"/>
          <w:lang w:val="en-US" w:eastAsia="zh-CN"/>
        </w:rPr>
        <w:t xml:space="preserve">  </w:t>
      </w:r>
      <w:r>
        <w:rPr>
          <w:rFonts w:hint="eastAsia" w:ascii="仿宋_GB2312" w:hAnsi="仿宋_GB2312" w:eastAsia="仿宋_GB2312" w:cs="仿宋_GB2312"/>
          <w:szCs w:val="32"/>
        </w:rPr>
        <w:t>202</w:t>
      </w:r>
      <w:r>
        <w:rPr>
          <w:rFonts w:hint="eastAsia" w:ascii="仿宋_GB2312" w:hAnsi="仿宋_GB2312" w:eastAsia="仿宋_GB2312" w:cs="仿宋_GB2312"/>
          <w:szCs w:val="32"/>
          <w:lang w:val="en-US" w:eastAsia="zh-CN"/>
        </w:rPr>
        <w:t>4</w:t>
      </w:r>
      <w:r>
        <w:rPr>
          <w:rFonts w:hint="eastAsia" w:ascii="仿宋_GB2312" w:hAnsi="仿宋_GB2312" w:eastAsia="仿宋_GB2312" w:cs="仿宋_GB2312"/>
          <w:szCs w:val="32"/>
        </w:rPr>
        <w:t>年</w:t>
      </w:r>
      <w:r>
        <w:rPr>
          <w:rFonts w:hint="eastAsia" w:ascii="仿宋_GB2312" w:hAnsi="仿宋_GB2312" w:eastAsia="仿宋_GB2312" w:cs="仿宋_GB2312"/>
          <w:szCs w:val="32"/>
          <w:lang w:val="en-US" w:eastAsia="zh-CN"/>
        </w:rPr>
        <w:t>3</w:t>
      </w:r>
      <w:r>
        <w:rPr>
          <w:rFonts w:hint="eastAsia" w:ascii="仿宋_GB2312" w:hAnsi="仿宋_GB2312" w:eastAsia="仿宋_GB2312" w:cs="仿宋_GB2312"/>
          <w:szCs w:val="32"/>
        </w:rPr>
        <w:t>月</w:t>
      </w:r>
      <w:r>
        <w:rPr>
          <w:rFonts w:hint="eastAsia" w:ascii="仿宋_GB2312" w:hAnsi="仿宋_GB2312" w:eastAsia="仿宋_GB2312" w:cs="仿宋_GB2312"/>
          <w:szCs w:val="32"/>
          <w:lang w:val="en-US" w:eastAsia="zh-CN"/>
        </w:rPr>
        <w:t>20</w:t>
      </w:r>
      <w:r>
        <w:rPr>
          <w:rFonts w:hint="eastAsia" w:ascii="仿宋_GB2312" w:hAnsi="仿宋_GB2312" w:eastAsia="仿宋_GB2312" w:cs="仿宋_GB2312"/>
          <w:szCs w:val="32"/>
        </w:rPr>
        <w:t>日</w:t>
      </w:r>
    </w:p>
    <w:p>
      <w:pPr>
        <w:spacing w:after="0" w:line="560" w:lineRule="exact"/>
        <w:ind w:firstLine="320" w:firstLineChars="100"/>
        <w:rPr>
          <w:rFonts w:hint="eastAsia" w:ascii="仿宋_GB2312" w:hAnsi="仿宋_GB2312" w:eastAsia="仿宋_GB2312" w:cs="仿宋_GB2312"/>
          <w:szCs w:val="32"/>
        </w:rPr>
      </w:pPr>
      <w:r>
        <w:rPr>
          <w:rFonts w:hint="eastAsia" w:ascii="仿宋_GB2312" w:hAnsi="仿宋_GB2312" w:eastAsia="仿宋_GB2312" w:cs="仿宋_GB2312"/>
          <w:szCs w:val="32"/>
        </w:rPr>
        <w:t>（联系人：</w:t>
      </w:r>
      <w:r>
        <w:rPr>
          <w:rFonts w:hint="eastAsia" w:ascii="仿宋_GB2312" w:hAnsi="仿宋_GB2312" w:eastAsia="仿宋_GB2312" w:cs="仿宋_GB2312"/>
          <w:szCs w:val="32"/>
          <w:lang w:val="en-US" w:eastAsia="zh-CN"/>
        </w:rPr>
        <w:t>屈江慧</w:t>
      </w:r>
      <w:r>
        <w:rPr>
          <w:rFonts w:hint="eastAsia" w:ascii="仿宋_GB2312" w:hAnsi="仿宋_GB2312" w:eastAsia="仿宋_GB2312" w:cs="仿宋_GB2312"/>
          <w:szCs w:val="32"/>
        </w:rPr>
        <w:t>，联系电话：020-66826953）</w:t>
      </w:r>
      <w:bookmarkStart w:id="0" w:name="_GoBack"/>
      <w:bookmarkEnd w:id="0"/>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lang w:val="en-US" w:eastAsia="zh-CN"/>
        </w:rPr>
      </w:pPr>
      <w:r>
        <w:rPr>
          <w:rFonts w:hint="eastAsia" w:ascii="FangSong_GB2312" w:hAnsi="黑体"/>
          <w:szCs w:val="32"/>
        </w:rPr>
        <w:br w:type="page"/>
      </w:r>
    </w:p>
    <w:p>
      <w:pPr>
        <w:numPr>
          <w:ilvl w:val="0"/>
          <w:numId w:val="0"/>
        </w:numPr>
        <w:tabs>
          <w:tab w:val="left" w:pos="900"/>
        </w:tabs>
        <w:spacing w:line="360" w:lineRule="auto"/>
        <w:outlineLvl w:val="2"/>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附件1</w:t>
      </w:r>
    </w:p>
    <w:p>
      <w:pPr>
        <w:keepNext w:val="0"/>
        <w:keepLines w:val="0"/>
        <w:pageBreakBefore w:val="0"/>
        <w:widowControl w:val="0"/>
        <w:numPr>
          <w:ilvl w:val="0"/>
          <w:numId w:val="0"/>
        </w:numPr>
        <w:tabs>
          <w:tab w:val="left" w:pos="900"/>
        </w:tabs>
        <w:kinsoku/>
        <w:wordWrap/>
        <w:overflowPunct/>
        <w:topLinePunct w:val="0"/>
        <w:autoSpaceDE/>
        <w:autoSpaceDN/>
        <w:bidi w:val="0"/>
        <w:adjustRightInd/>
        <w:snapToGrid/>
        <w:spacing w:line="680" w:lineRule="exact"/>
        <w:jc w:val="center"/>
        <w:textAlignment w:val="auto"/>
        <w:outlineLvl w:val="2"/>
        <w:rPr>
          <w:rFonts w:hint="eastAsia" w:ascii="方正小标宋简体" w:hAnsi="方正小标宋简体" w:eastAsia="方正小标宋简体" w:cs="方正小标宋简体"/>
          <w:sz w:val="44"/>
          <w:szCs w:val="44"/>
          <w:highlight w:val="none"/>
          <w:lang w:val="en-US" w:eastAsia="zh-CN"/>
        </w:rPr>
      </w:pPr>
      <w:r>
        <w:rPr>
          <w:rFonts w:hint="eastAsia" w:ascii="方正小标宋简体" w:hAnsi="方正小标宋简体" w:eastAsia="方正小标宋简体" w:cs="方正小标宋简体"/>
          <w:sz w:val="44"/>
          <w:szCs w:val="44"/>
          <w:highlight w:val="none"/>
          <w:lang w:val="en-US" w:eastAsia="zh-CN"/>
        </w:rPr>
        <w:t>课程安排</w:t>
      </w:r>
    </w:p>
    <w:tbl>
      <w:tblPr>
        <w:tblStyle w:val="8"/>
        <w:tblpPr w:leftFromText="180" w:rightFromText="180" w:vertAnchor="text" w:horzAnchor="page" w:tblpX="1632" w:tblpY="1297"/>
        <w:tblOverlap w:val="never"/>
        <w:tblW w:w="9170" w:type="dxa"/>
        <w:tblInd w:w="0" w:type="dxa"/>
        <w:tblLayout w:type="fixed"/>
        <w:tblCellMar>
          <w:top w:w="0" w:type="dxa"/>
          <w:left w:w="108" w:type="dxa"/>
          <w:bottom w:w="0" w:type="dxa"/>
          <w:right w:w="108" w:type="dxa"/>
        </w:tblCellMar>
      </w:tblPr>
      <w:tblGrid>
        <w:gridCol w:w="1310"/>
        <w:gridCol w:w="1815"/>
        <w:gridCol w:w="1830"/>
        <w:gridCol w:w="2475"/>
        <w:gridCol w:w="1740"/>
      </w:tblGrid>
      <w:tr>
        <w:tblPrEx>
          <w:tblCellMar>
            <w:top w:w="0" w:type="dxa"/>
            <w:left w:w="108" w:type="dxa"/>
            <w:bottom w:w="0" w:type="dxa"/>
            <w:right w:w="108" w:type="dxa"/>
          </w:tblCellMar>
        </w:tblPrEx>
        <w:trPr>
          <w:trHeight w:val="862" w:hRule="atLeast"/>
        </w:trPr>
        <w:tc>
          <w:tcPr>
            <w:tcW w:w="1310" w:type="dxa"/>
            <w:tcBorders>
              <w:top w:val="single" w:color="auto" w:sz="4" w:space="0"/>
              <w:left w:val="single" w:color="auto" w:sz="4" w:space="0"/>
              <w:bottom w:val="single" w:color="auto" w:sz="4" w:space="0"/>
              <w:right w:val="single" w:color="auto" w:sz="4" w:space="0"/>
            </w:tcBorders>
            <w:noWrap w:val="0"/>
            <w:vAlign w:val="center"/>
          </w:tcPr>
          <w:p>
            <w:pPr>
              <w:widowControl/>
              <w:jc w:val="both"/>
              <w:rPr>
                <w:rFonts w:hint="eastAsia" w:ascii="仿宋_GB2312" w:hAnsi="仿宋_GB2312" w:eastAsia="仿宋_GB2312" w:cs="仿宋_GB2312"/>
                <w:b/>
                <w:bCs/>
                <w:color w:val="000000"/>
                <w:kern w:val="0"/>
                <w:sz w:val="24"/>
                <w:szCs w:val="24"/>
                <w:lang w:val="en-US" w:eastAsia="zh-CN"/>
              </w:rPr>
            </w:pPr>
            <w:r>
              <w:rPr>
                <w:rFonts w:hint="eastAsia" w:ascii="仿宋_GB2312" w:hAnsi="仿宋_GB2312" w:eastAsia="仿宋_GB2312" w:cs="仿宋_GB2312"/>
                <w:b/>
                <w:bCs/>
                <w:color w:val="000000"/>
                <w:kern w:val="0"/>
                <w:sz w:val="24"/>
                <w:szCs w:val="24"/>
                <w:lang w:val="en-US" w:eastAsia="zh-CN"/>
              </w:rPr>
              <w:t>日期、地点</w:t>
            </w:r>
          </w:p>
        </w:tc>
        <w:tc>
          <w:tcPr>
            <w:tcW w:w="181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bCs/>
                <w:color w:val="000000"/>
                <w:kern w:val="0"/>
                <w:sz w:val="24"/>
                <w:szCs w:val="24"/>
              </w:rPr>
            </w:pPr>
            <w:r>
              <w:rPr>
                <w:rFonts w:hint="eastAsia" w:ascii="仿宋_GB2312" w:hAnsi="仿宋_GB2312" w:eastAsia="仿宋_GB2312" w:cs="仿宋_GB2312"/>
                <w:b/>
                <w:bCs/>
                <w:color w:val="000000"/>
                <w:kern w:val="0"/>
                <w:sz w:val="24"/>
                <w:szCs w:val="24"/>
              </w:rPr>
              <w:t>时间</w:t>
            </w:r>
          </w:p>
        </w:tc>
        <w:tc>
          <w:tcPr>
            <w:tcW w:w="183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bCs/>
                <w:color w:val="000000"/>
                <w:kern w:val="0"/>
                <w:sz w:val="24"/>
                <w:szCs w:val="24"/>
              </w:rPr>
            </w:pPr>
            <w:r>
              <w:rPr>
                <w:rFonts w:hint="eastAsia" w:ascii="仿宋_GB2312" w:hAnsi="仿宋_GB2312" w:eastAsia="仿宋_GB2312" w:cs="仿宋_GB2312"/>
                <w:b/>
                <w:bCs/>
                <w:color w:val="000000"/>
                <w:kern w:val="0"/>
                <w:sz w:val="24"/>
                <w:szCs w:val="24"/>
              </w:rPr>
              <w:t>题目</w:t>
            </w:r>
          </w:p>
        </w:tc>
        <w:tc>
          <w:tcPr>
            <w:tcW w:w="247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bCs/>
                <w:color w:val="000000"/>
                <w:kern w:val="0"/>
                <w:sz w:val="24"/>
                <w:szCs w:val="24"/>
              </w:rPr>
            </w:pPr>
            <w:r>
              <w:rPr>
                <w:rFonts w:hint="eastAsia" w:ascii="仿宋_GB2312" w:hAnsi="仿宋_GB2312" w:eastAsia="仿宋_GB2312" w:cs="仿宋_GB2312"/>
                <w:b/>
                <w:bCs/>
                <w:color w:val="000000"/>
                <w:kern w:val="0"/>
                <w:sz w:val="24"/>
                <w:szCs w:val="24"/>
              </w:rPr>
              <w:t>授课内容与形式</w:t>
            </w:r>
          </w:p>
        </w:tc>
        <w:tc>
          <w:tcPr>
            <w:tcW w:w="174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bCs/>
                <w:color w:val="000000"/>
                <w:kern w:val="0"/>
                <w:sz w:val="24"/>
                <w:szCs w:val="24"/>
              </w:rPr>
            </w:pPr>
            <w:r>
              <w:rPr>
                <w:rFonts w:hint="eastAsia" w:ascii="仿宋_GB2312" w:hAnsi="仿宋_GB2312" w:eastAsia="仿宋_GB2312" w:cs="仿宋_GB2312"/>
                <w:b/>
                <w:bCs/>
                <w:color w:val="000000"/>
                <w:kern w:val="0"/>
                <w:sz w:val="24"/>
                <w:szCs w:val="24"/>
              </w:rPr>
              <w:t>教师</w:t>
            </w:r>
          </w:p>
        </w:tc>
      </w:tr>
      <w:tr>
        <w:tblPrEx>
          <w:tblCellMar>
            <w:top w:w="0" w:type="dxa"/>
            <w:left w:w="108" w:type="dxa"/>
            <w:bottom w:w="0" w:type="dxa"/>
            <w:right w:w="108" w:type="dxa"/>
          </w:tblCellMar>
        </w:tblPrEx>
        <w:trPr>
          <w:trHeight w:val="792" w:hRule="atLeast"/>
        </w:trPr>
        <w:tc>
          <w:tcPr>
            <w:tcW w:w="1310" w:type="dxa"/>
            <w:tcBorders>
              <w:top w:val="single" w:color="auto" w:sz="4" w:space="0"/>
              <w:left w:val="single" w:color="auto" w:sz="4" w:space="0"/>
              <w:bottom w:val="single" w:color="auto" w:sz="4" w:space="0"/>
              <w:right w:val="single" w:color="auto" w:sz="4" w:space="0"/>
            </w:tcBorders>
            <w:noWrap w:val="0"/>
            <w:vAlign w:val="center"/>
          </w:tcPr>
          <w:p>
            <w:pPr>
              <w:widowControl/>
              <w:jc w:val="both"/>
              <w:rPr>
                <w:rFonts w:hint="eastAsia" w:ascii="仿宋_GB2312" w:hAnsi="仿宋_GB2312" w:eastAsia="仿宋_GB2312" w:cs="仿宋_GB2312"/>
                <w:b w:val="0"/>
                <w:bCs w:val="0"/>
                <w:color w:val="000000"/>
                <w:kern w:val="0"/>
                <w:sz w:val="24"/>
                <w:szCs w:val="24"/>
                <w:lang w:val="en-US" w:eastAsia="zh-CN"/>
              </w:rPr>
            </w:pPr>
            <w:r>
              <w:rPr>
                <w:rFonts w:hint="eastAsia" w:ascii="仿宋_GB2312" w:hAnsi="仿宋_GB2312" w:eastAsia="仿宋_GB2312" w:cs="仿宋_GB2312"/>
                <w:b w:val="0"/>
                <w:bCs w:val="0"/>
                <w:color w:val="000000"/>
                <w:kern w:val="0"/>
                <w:sz w:val="24"/>
                <w:szCs w:val="24"/>
                <w:lang w:val="en-US" w:eastAsia="zh-CN"/>
              </w:rPr>
              <w:t>4月8日（周一）</w:t>
            </w:r>
          </w:p>
        </w:tc>
        <w:tc>
          <w:tcPr>
            <w:tcW w:w="181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val="0"/>
                <w:bCs w:val="0"/>
                <w:color w:val="000000"/>
                <w:kern w:val="0"/>
                <w:sz w:val="24"/>
                <w:szCs w:val="24"/>
              </w:rPr>
            </w:pPr>
            <w:r>
              <w:rPr>
                <w:rFonts w:hint="eastAsia" w:ascii="仿宋_GB2312" w:hAnsi="仿宋_GB2312" w:eastAsia="仿宋_GB2312" w:cs="仿宋_GB2312"/>
                <w:b w:val="0"/>
                <w:bCs w:val="0"/>
                <w:color w:val="000000"/>
                <w:kern w:val="0"/>
                <w:sz w:val="24"/>
                <w:szCs w:val="24"/>
              </w:rPr>
              <w:t>全天</w:t>
            </w:r>
          </w:p>
        </w:tc>
        <w:tc>
          <w:tcPr>
            <w:tcW w:w="6045"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val="0"/>
                <w:bCs w:val="0"/>
                <w:color w:val="000000"/>
                <w:kern w:val="0"/>
                <w:sz w:val="24"/>
                <w:szCs w:val="24"/>
              </w:rPr>
            </w:pPr>
            <w:r>
              <w:rPr>
                <w:rFonts w:hint="eastAsia" w:ascii="仿宋_GB2312" w:hAnsi="仿宋_GB2312" w:eastAsia="仿宋_GB2312" w:cs="仿宋_GB2312"/>
                <w:b w:val="0"/>
                <w:bCs w:val="0"/>
                <w:color w:val="000000"/>
                <w:kern w:val="0"/>
                <w:sz w:val="24"/>
                <w:szCs w:val="24"/>
              </w:rPr>
              <w:t>报到</w:t>
            </w:r>
          </w:p>
        </w:tc>
      </w:tr>
      <w:tr>
        <w:tblPrEx>
          <w:tblCellMar>
            <w:top w:w="0" w:type="dxa"/>
            <w:left w:w="108" w:type="dxa"/>
            <w:bottom w:w="0" w:type="dxa"/>
            <w:right w:w="108" w:type="dxa"/>
          </w:tblCellMar>
        </w:tblPrEx>
        <w:trPr>
          <w:trHeight w:val="856" w:hRule="atLeast"/>
        </w:trPr>
        <w:tc>
          <w:tcPr>
            <w:tcW w:w="1310"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both"/>
              <w:rPr>
                <w:rFonts w:hint="eastAsia" w:ascii="仿宋_GB2312" w:hAnsi="仿宋_GB2312" w:eastAsia="仿宋_GB2312" w:cs="仿宋_GB2312"/>
                <w:b w:val="0"/>
                <w:bCs w:val="0"/>
                <w:color w:val="000000"/>
                <w:kern w:val="0"/>
                <w:sz w:val="24"/>
                <w:szCs w:val="24"/>
                <w:lang w:val="en-US" w:eastAsia="zh-CN"/>
              </w:rPr>
            </w:pPr>
            <w:r>
              <w:rPr>
                <w:rFonts w:hint="eastAsia" w:ascii="仿宋_GB2312" w:hAnsi="仿宋_GB2312" w:eastAsia="仿宋_GB2312" w:cs="仿宋_GB2312"/>
                <w:b w:val="0"/>
                <w:bCs w:val="0"/>
                <w:color w:val="000000"/>
                <w:kern w:val="0"/>
                <w:sz w:val="24"/>
                <w:szCs w:val="24"/>
                <w:lang w:val="en-US" w:eastAsia="zh-CN"/>
              </w:rPr>
              <w:t>4月9日</w:t>
            </w:r>
          </w:p>
          <w:p>
            <w:pPr>
              <w:widowControl/>
              <w:jc w:val="center"/>
              <w:rPr>
                <w:rFonts w:hint="eastAsia" w:ascii="仿宋_GB2312" w:hAnsi="仿宋_GB2312" w:eastAsia="仿宋_GB2312" w:cs="仿宋_GB2312"/>
                <w:b w:val="0"/>
                <w:bCs w:val="0"/>
                <w:color w:val="000000"/>
                <w:kern w:val="0"/>
                <w:sz w:val="24"/>
                <w:szCs w:val="24"/>
                <w:lang w:val="en-US" w:eastAsia="zh-CN"/>
              </w:rPr>
            </w:pPr>
            <w:r>
              <w:rPr>
                <w:rFonts w:hint="eastAsia" w:ascii="仿宋_GB2312" w:hAnsi="仿宋_GB2312" w:eastAsia="仿宋_GB2312" w:cs="仿宋_GB2312"/>
                <w:b w:val="0"/>
                <w:bCs w:val="0"/>
                <w:color w:val="000000"/>
                <w:kern w:val="0"/>
                <w:sz w:val="24"/>
                <w:szCs w:val="24"/>
                <w:lang w:val="en-US" w:eastAsia="zh-CN"/>
              </w:rPr>
              <w:t>（周二）</w:t>
            </w:r>
          </w:p>
          <w:p>
            <w:pPr>
              <w:widowControl/>
              <w:jc w:val="center"/>
              <w:rPr>
                <w:rFonts w:hint="eastAsia" w:ascii="仿宋_GB2312" w:hAnsi="仿宋_GB2312" w:eastAsia="仿宋_GB2312" w:cs="仿宋_GB2312"/>
                <w:b w:val="0"/>
                <w:bCs w:val="0"/>
                <w:color w:val="000000"/>
                <w:kern w:val="0"/>
                <w:sz w:val="24"/>
                <w:szCs w:val="24"/>
                <w:lang w:val="en-US" w:eastAsia="zh-CN"/>
              </w:rPr>
            </w:pPr>
          </w:p>
        </w:tc>
        <w:tc>
          <w:tcPr>
            <w:tcW w:w="181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val="0"/>
                <w:bCs w:val="0"/>
                <w:color w:val="000000"/>
                <w:kern w:val="0"/>
                <w:sz w:val="24"/>
                <w:szCs w:val="24"/>
              </w:rPr>
            </w:pPr>
            <w:r>
              <w:rPr>
                <w:rFonts w:hint="eastAsia" w:ascii="仿宋_GB2312" w:hAnsi="仿宋_GB2312" w:eastAsia="仿宋_GB2312" w:cs="仿宋_GB2312"/>
                <w:b w:val="0"/>
                <w:bCs w:val="0"/>
                <w:color w:val="000000"/>
                <w:kern w:val="0"/>
                <w:sz w:val="24"/>
                <w:szCs w:val="24"/>
              </w:rPr>
              <w:t>9</w:t>
            </w:r>
            <w:r>
              <w:rPr>
                <w:rFonts w:hint="eastAsia" w:ascii="仿宋_GB2312" w:hAnsi="仿宋_GB2312" w:eastAsia="仿宋_GB2312" w:cs="仿宋_GB2312"/>
                <w:b w:val="0"/>
                <w:bCs w:val="0"/>
                <w:color w:val="000000"/>
                <w:kern w:val="0"/>
                <w:sz w:val="24"/>
                <w:szCs w:val="24"/>
                <w:lang w:eastAsia="zh-CN"/>
              </w:rPr>
              <w:t>：</w:t>
            </w:r>
            <w:r>
              <w:rPr>
                <w:rFonts w:hint="eastAsia" w:ascii="仿宋_GB2312" w:hAnsi="仿宋_GB2312" w:eastAsia="仿宋_GB2312" w:cs="仿宋_GB2312"/>
                <w:b w:val="0"/>
                <w:bCs w:val="0"/>
                <w:color w:val="000000"/>
                <w:kern w:val="0"/>
                <w:sz w:val="24"/>
                <w:szCs w:val="24"/>
              </w:rPr>
              <w:t>00-9：30</w:t>
            </w:r>
          </w:p>
        </w:tc>
        <w:tc>
          <w:tcPr>
            <w:tcW w:w="6045"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val="0"/>
                <w:bCs w:val="0"/>
                <w:color w:val="000000"/>
                <w:kern w:val="0"/>
                <w:sz w:val="24"/>
                <w:szCs w:val="24"/>
              </w:rPr>
            </w:pPr>
            <w:r>
              <w:rPr>
                <w:rFonts w:hint="eastAsia" w:ascii="仿宋_GB2312" w:hAnsi="仿宋_GB2312" w:eastAsia="仿宋_GB2312" w:cs="仿宋_GB2312"/>
                <w:b w:val="0"/>
                <w:bCs w:val="0"/>
                <w:color w:val="000000"/>
                <w:kern w:val="0"/>
                <w:sz w:val="24"/>
                <w:szCs w:val="24"/>
              </w:rPr>
              <w:t>开班仪式</w:t>
            </w:r>
          </w:p>
        </w:tc>
      </w:tr>
      <w:tr>
        <w:tblPrEx>
          <w:tblCellMar>
            <w:top w:w="0" w:type="dxa"/>
            <w:left w:w="108" w:type="dxa"/>
            <w:bottom w:w="0" w:type="dxa"/>
            <w:right w:w="108" w:type="dxa"/>
          </w:tblCellMar>
        </w:tblPrEx>
        <w:trPr>
          <w:trHeight w:val="1805" w:hRule="atLeast"/>
        </w:trPr>
        <w:tc>
          <w:tcPr>
            <w:tcW w:w="131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val="0"/>
                <w:bCs w:val="0"/>
                <w:color w:val="000000"/>
                <w:kern w:val="0"/>
                <w:sz w:val="24"/>
                <w:szCs w:val="24"/>
              </w:rPr>
            </w:pPr>
          </w:p>
        </w:tc>
        <w:tc>
          <w:tcPr>
            <w:tcW w:w="181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val="0"/>
                <w:bCs w:val="0"/>
                <w:color w:val="000000"/>
                <w:kern w:val="0"/>
                <w:sz w:val="24"/>
                <w:szCs w:val="24"/>
              </w:rPr>
            </w:pPr>
            <w:r>
              <w:rPr>
                <w:rFonts w:hint="eastAsia" w:ascii="仿宋_GB2312" w:hAnsi="仿宋_GB2312" w:eastAsia="仿宋_GB2312" w:cs="仿宋_GB2312"/>
                <w:b w:val="0"/>
                <w:bCs w:val="0"/>
                <w:color w:val="000000"/>
                <w:kern w:val="0"/>
                <w:sz w:val="24"/>
                <w:szCs w:val="24"/>
              </w:rPr>
              <w:t>9：30-12：00</w:t>
            </w:r>
          </w:p>
        </w:tc>
        <w:tc>
          <w:tcPr>
            <w:tcW w:w="183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val="0"/>
                <w:bCs w:val="0"/>
                <w:color w:val="000000"/>
                <w:kern w:val="0"/>
                <w:sz w:val="24"/>
                <w:szCs w:val="24"/>
                <w:lang w:val="en-US" w:eastAsia="zh-CN"/>
              </w:rPr>
            </w:pPr>
            <w:r>
              <w:rPr>
                <w:rFonts w:hint="eastAsia" w:ascii="仿宋_GB2312" w:hAnsi="仿宋_GB2312" w:eastAsia="仿宋_GB2312" w:cs="仿宋_GB2312"/>
                <w:b w:val="0"/>
                <w:bCs w:val="0"/>
                <w:color w:val="000000"/>
                <w:kern w:val="0"/>
                <w:sz w:val="24"/>
                <w:szCs w:val="24"/>
                <w:lang w:val="en-US" w:eastAsia="zh-CN"/>
              </w:rPr>
              <w:t>习近平法治思想解读</w:t>
            </w:r>
          </w:p>
        </w:tc>
        <w:tc>
          <w:tcPr>
            <w:tcW w:w="2475"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val="0"/>
                <w:bCs w:val="0"/>
                <w:color w:val="000000"/>
                <w:kern w:val="0"/>
                <w:sz w:val="24"/>
                <w:szCs w:val="24"/>
                <w:lang w:val="en-US" w:eastAsia="zh-CN"/>
              </w:rPr>
            </w:pPr>
            <w:r>
              <w:rPr>
                <w:rFonts w:hint="eastAsia" w:ascii="仿宋_GB2312" w:hAnsi="仿宋_GB2312" w:eastAsia="仿宋_GB2312" w:cs="仿宋_GB2312"/>
                <w:b w:val="0"/>
                <w:bCs w:val="0"/>
                <w:color w:val="000000"/>
                <w:kern w:val="0"/>
                <w:sz w:val="24"/>
                <w:szCs w:val="24"/>
              </w:rPr>
              <w:t>讲述</w:t>
            </w:r>
            <w:r>
              <w:rPr>
                <w:rFonts w:hint="eastAsia" w:ascii="仿宋_GB2312" w:hAnsi="仿宋_GB2312" w:eastAsia="仿宋_GB2312" w:cs="仿宋_GB2312"/>
                <w:b w:val="0"/>
                <w:bCs w:val="0"/>
                <w:color w:val="000000"/>
                <w:kern w:val="0"/>
                <w:sz w:val="24"/>
                <w:szCs w:val="24"/>
                <w:lang w:val="en-US" w:eastAsia="zh-CN"/>
              </w:rPr>
              <w:t>习近平法治思想的内涵、十一个坚持的内容及关系、习近平法治思想的内在逻辑及理论创新</w:t>
            </w:r>
          </w:p>
        </w:tc>
        <w:tc>
          <w:tcPr>
            <w:tcW w:w="1740" w:type="dxa"/>
            <w:tcBorders>
              <w:top w:val="single" w:color="auto" w:sz="4" w:space="0"/>
              <w:left w:val="single" w:color="auto" w:sz="4" w:space="0"/>
              <w:bottom w:val="single" w:color="auto" w:sz="4" w:space="0"/>
              <w:right w:val="single" w:color="auto" w:sz="4" w:space="0"/>
            </w:tcBorders>
            <w:noWrap w:val="0"/>
            <w:vAlign w:val="center"/>
          </w:tcPr>
          <w:p>
            <w:pPr>
              <w:widowControl/>
              <w:rPr>
                <w:rFonts w:hint="eastAsia" w:ascii="仿宋_GB2312" w:hAnsi="仿宋_GB2312" w:eastAsia="仿宋_GB2312" w:cs="仿宋_GB2312"/>
                <w:b w:val="0"/>
                <w:bCs w:val="0"/>
                <w:color w:val="000000"/>
                <w:kern w:val="0"/>
                <w:sz w:val="24"/>
                <w:szCs w:val="24"/>
                <w:lang w:eastAsia="zh-CN"/>
              </w:rPr>
            </w:pPr>
            <w:r>
              <w:rPr>
                <w:rFonts w:hint="eastAsia" w:ascii="仿宋_GB2312" w:hAnsi="仿宋_GB2312" w:eastAsia="仿宋_GB2312" w:cs="仿宋_GB2312"/>
                <w:b w:val="0"/>
                <w:bCs w:val="0"/>
                <w:color w:val="000000"/>
                <w:kern w:val="0"/>
                <w:sz w:val="24"/>
                <w:szCs w:val="24"/>
                <w:lang w:val="en-US" w:eastAsia="zh-CN"/>
              </w:rPr>
              <w:t>黄文艺教授</w:t>
            </w:r>
          </w:p>
        </w:tc>
      </w:tr>
      <w:tr>
        <w:tblPrEx>
          <w:tblCellMar>
            <w:top w:w="0" w:type="dxa"/>
            <w:left w:w="108" w:type="dxa"/>
            <w:bottom w:w="0" w:type="dxa"/>
            <w:right w:w="108" w:type="dxa"/>
          </w:tblCellMar>
        </w:tblPrEx>
        <w:trPr>
          <w:trHeight w:val="1820" w:hRule="atLeast"/>
        </w:trPr>
        <w:tc>
          <w:tcPr>
            <w:tcW w:w="131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val="0"/>
                <w:bCs w:val="0"/>
                <w:color w:val="000000"/>
                <w:kern w:val="0"/>
                <w:sz w:val="24"/>
                <w:szCs w:val="24"/>
              </w:rPr>
            </w:pPr>
          </w:p>
        </w:tc>
        <w:tc>
          <w:tcPr>
            <w:tcW w:w="181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val="0"/>
                <w:bCs w:val="0"/>
                <w:color w:val="000000"/>
                <w:kern w:val="0"/>
                <w:sz w:val="24"/>
                <w:szCs w:val="24"/>
              </w:rPr>
            </w:pPr>
            <w:r>
              <w:rPr>
                <w:rFonts w:hint="eastAsia" w:ascii="仿宋_GB2312" w:hAnsi="仿宋_GB2312" w:eastAsia="仿宋_GB2312" w:cs="仿宋_GB2312"/>
                <w:b w:val="0"/>
                <w:bCs w:val="0"/>
                <w:color w:val="000000"/>
                <w:kern w:val="0"/>
                <w:sz w:val="24"/>
                <w:szCs w:val="24"/>
              </w:rPr>
              <w:t>14：30-17：30</w:t>
            </w:r>
          </w:p>
        </w:tc>
        <w:tc>
          <w:tcPr>
            <w:tcW w:w="18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b w:val="0"/>
                <w:bCs w:val="0"/>
                <w:kern w:val="2"/>
                <w:sz w:val="24"/>
                <w:szCs w:val="24"/>
                <w:lang w:val="en-US" w:eastAsia="zh-CN" w:bidi="ar-SA"/>
              </w:rPr>
            </w:pPr>
            <w:r>
              <w:rPr>
                <w:rFonts w:hint="eastAsia" w:ascii="仿宋_GB2312" w:hAnsi="仿宋_GB2312" w:eastAsia="仿宋_GB2312" w:cs="仿宋_GB2312"/>
                <w:b w:val="0"/>
                <w:bCs w:val="0"/>
                <w:color w:val="000000"/>
                <w:kern w:val="0"/>
                <w:sz w:val="24"/>
                <w:szCs w:val="24"/>
              </w:rPr>
              <w:t>国家知识产权战略</w:t>
            </w:r>
            <w:r>
              <w:rPr>
                <w:rFonts w:hint="eastAsia" w:ascii="仿宋_GB2312" w:hAnsi="仿宋_GB2312" w:eastAsia="仿宋_GB2312" w:cs="仿宋_GB2312"/>
                <w:b w:val="0"/>
                <w:bCs w:val="0"/>
                <w:color w:val="000000"/>
                <w:kern w:val="0"/>
                <w:sz w:val="24"/>
                <w:szCs w:val="24"/>
                <w:lang w:val="en-US" w:eastAsia="zh-CN"/>
              </w:rPr>
              <w:t>与</w:t>
            </w:r>
            <w:r>
              <w:rPr>
                <w:rFonts w:hint="eastAsia" w:ascii="仿宋_GB2312" w:hAnsi="仿宋_GB2312" w:eastAsia="仿宋_GB2312" w:cs="仿宋_GB2312"/>
                <w:b w:val="0"/>
                <w:bCs w:val="0"/>
                <w:sz w:val="24"/>
                <w:szCs w:val="24"/>
              </w:rPr>
              <w:t>我国现有知识产权立法</w:t>
            </w:r>
          </w:p>
        </w:tc>
        <w:tc>
          <w:tcPr>
            <w:tcW w:w="2475"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b w:val="0"/>
                <w:bCs w:val="0"/>
                <w:kern w:val="2"/>
                <w:sz w:val="24"/>
                <w:szCs w:val="24"/>
                <w:lang w:val="en-US" w:eastAsia="zh-CN" w:bidi="ar-SA"/>
              </w:rPr>
            </w:pPr>
            <w:r>
              <w:rPr>
                <w:rFonts w:hint="eastAsia" w:ascii="仿宋_GB2312" w:hAnsi="仿宋_GB2312" w:eastAsia="仿宋_GB2312" w:cs="仿宋_GB2312"/>
                <w:b w:val="0"/>
                <w:bCs w:val="0"/>
                <w:sz w:val="24"/>
                <w:szCs w:val="24"/>
              </w:rPr>
              <w:t>对我国现有知识产权立法情况进行介绍、实施中的问题以及拟修订情况进行介绍，以帮助学员对知识产权立法框架有系统把握</w:t>
            </w:r>
          </w:p>
        </w:tc>
        <w:tc>
          <w:tcPr>
            <w:tcW w:w="1740" w:type="dxa"/>
            <w:tcBorders>
              <w:top w:val="single" w:color="auto" w:sz="4" w:space="0"/>
              <w:left w:val="single" w:color="auto" w:sz="4" w:space="0"/>
              <w:bottom w:val="single" w:color="auto" w:sz="4" w:space="0"/>
              <w:right w:val="single" w:color="auto" w:sz="4" w:space="0"/>
            </w:tcBorders>
            <w:noWrap w:val="0"/>
            <w:vAlign w:val="center"/>
          </w:tcPr>
          <w:p>
            <w:pPr>
              <w:widowControl/>
              <w:ind w:firstLine="240" w:firstLineChars="100"/>
              <w:jc w:val="both"/>
              <w:rPr>
                <w:rFonts w:hint="eastAsia" w:ascii="仿宋_GB2312" w:hAnsi="仿宋_GB2312" w:eastAsia="仿宋_GB2312" w:cs="仿宋_GB2312"/>
                <w:b w:val="0"/>
                <w:bCs w:val="0"/>
                <w:kern w:val="0"/>
                <w:sz w:val="24"/>
                <w:szCs w:val="24"/>
                <w:lang w:val="en-US" w:eastAsia="zh-CN" w:bidi="ar-SA"/>
              </w:rPr>
            </w:pPr>
            <w:r>
              <w:rPr>
                <w:rFonts w:hint="eastAsia" w:ascii="仿宋_GB2312" w:hAnsi="仿宋_GB2312" w:eastAsia="仿宋_GB2312" w:cs="仿宋_GB2312"/>
                <w:b w:val="0"/>
                <w:bCs w:val="0"/>
                <w:color w:val="000000"/>
                <w:kern w:val="0"/>
                <w:sz w:val="24"/>
                <w:szCs w:val="24"/>
              </w:rPr>
              <w:t>郭禾教授</w:t>
            </w:r>
          </w:p>
        </w:tc>
      </w:tr>
      <w:tr>
        <w:tblPrEx>
          <w:tblCellMar>
            <w:top w:w="0" w:type="dxa"/>
            <w:left w:w="108" w:type="dxa"/>
            <w:bottom w:w="0" w:type="dxa"/>
            <w:right w:w="108" w:type="dxa"/>
          </w:tblCellMar>
        </w:tblPrEx>
        <w:trPr>
          <w:trHeight w:val="1245" w:hRule="atLeast"/>
        </w:trPr>
        <w:tc>
          <w:tcPr>
            <w:tcW w:w="131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val="0"/>
                <w:bCs w:val="0"/>
                <w:color w:val="000000"/>
                <w:kern w:val="0"/>
                <w:sz w:val="24"/>
                <w:szCs w:val="24"/>
              </w:rPr>
            </w:pPr>
          </w:p>
        </w:tc>
        <w:tc>
          <w:tcPr>
            <w:tcW w:w="181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val="0"/>
                <w:bCs w:val="0"/>
                <w:color w:val="000000"/>
                <w:kern w:val="0"/>
                <w:sz w:val="24"/>
                <w:szCs w:val="24"/>
              </w:rPr>
            </w:pPr>
            <w:r>
              <w:rPr>
                <w:rFonts w:hint="eastAsia" w:ascii="仿宋_GB2312" w:hAnsi="仿宋_GB2312" w:eastAsia="仿宋_GB2312" w:cs="仿宋_GB2312"/>
                <w:b w:val="0"/>
                <w:bCs w:val="0"/>
                <w:color w:val="000000"/>
                <w:kern w:val="0"/>
                <w:sz w:val="24"/>
                <w:szCs w:val="24"/>
              </w:rPr>
              <w:t>18：30-21：</w:t>
            </w:r>
            <w:r>
              <w:rPr>
                <w:rFonts w:hint="eastAsia" w:ascii="仿宋_GB2312" w:hAnsi="仿宋_GB2312" w:eastAsia="仿宋_GB2312" w:cs="仿宋_GB2312"/>
                <w:b w:val="0"/>
                <w:bCs w:val="0"/>
                <w:color w:val="000000"/>
                <w:kern w:val="0"/>
                <w:sz w:val="24"/>
                <w:szCs w:val="24"/>
                <w:lang w:val="en-US" w:eastAsia="zh-CN"/>
              </w:rPr>
              <w:t>0</w:t>
            </w:r>
            <w:r>
              <w:rPr>
                <w:rFonts w:hint="eastAsia" w:ascii="仿宋_GB2312" w:hAnsi="仿宋_GB2312" w:eastAsia="仿宋_GB2312" w:cs="仿宋_GB2312"/>
                <w:b w:val="0"/>
                <w:bCs w:val="0"/>
                <w:color w:val="000000"/>
                <w:kern w:val="0"/>
                <w:sz w:val="24"/>
                <w:szCs w:val="24"/>
              </w:rPr>
              <w:t>0</w:t>
            </w:r>
          </w:p>
        </w:tc>
        <w:tc>
          <w:tcPr>
            <w:tcW w:w="6045" w:type="dxa"/>
            <w:gridSpan w:val="3"/>
            <w:tcBorders>
              <w:top w:val="single" w:color="auto" w:sz="4" w:space="0"/>
              <w:left w:val="single" w:color="auto" w:sz="4" w:space="0"/>
              <w:bottom w:val="single" w:color="auto" w:sz="4" w:space="0"/>
              <w:right w:val="single" w:color="auto" w:sz="4" w:space="0"/>
            </w:tcBorders>
            <w:noWrap w:val="0"/>
            <w:vAlign w:val="center"/>
          </w:tcPr>
          <w:p>
            <w:pPr>
              <w:widowControl/>
              <w:ind w:firstLine="240" w:firstLineChars="100"/>
              <w:jc w:val="both"/>
              <w:rPr>
                <w:rFonts w:hint="default"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分组介绍、相互认识</w:t>
            </w:r>
          </w:p>
        </w:tc>
      </w:tr>
      <w:tr>
        <w:tblPrEx>
          <w:tblCellMar>
            <w:top w:w="0" w:type="dxa"/>
            <w:left w:w="108" w:type="dxa"/>
            <w:bottom w:w="0" w:type="dxa"/>
            <w:right w:w="108" w:type="dxa"/>
          </w:tblCellMar>
        </w:tblPrEx>
        <w:trPr>
          <w:trHeight w:val="1245" w:hRule="atLeast"/>
        </w:trPr>
        <w:tc>
          <w:tcPr>
            <w:tcW w:w="1310"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both"/>
              <w:rPr>
                <w:rFonts w:hint="eastAsia" w:ascii="仿宋_GB2312" w:hAnsi="仿宋_GB2312" w:eastAsia="仿宋_GB2312" w:cs="仿宋_GB2312"/>
                <w:b w:val="0"/>
                <w:bCs w:val="0"/>
                <w:color w:val="000000"/>
                <w:kern w:val="0"/>
                <w:sz w:val="24"/>
                <w:szCs w:val="24"/>
                <w:lang w:val="en-US" w:eastAsia="zh-CN"/>
              </w:rPr>
            </w:pPr>
            <w:r>
              <w:rPr>
                <w:rFonts w:hint="eastAsia" w:ascii="仿宋_GB2312" w:hAnsi="仿宋_GB2312" w:eastAsia="仿宋_GB2312" w:cs="仿宋_GB2312"/>
                <w:b w:val="0"/>
                <w:bCs w:val="0"/>
                <w:color w:val="000000"/>
                <w:kern w:val="0"/>
                <w:sz w:val="24"/>
                <w:szCs w:val="24"/>
                <w:lang w:val="en-US" w:eastAsia="zh-CN"/>
              </w:rPr>
              <w:t>4月10日</w:t>
            </w:r>
          </w:p>
          <w:p>
            <w:pPr>
              <w:widowControl/>
              <w:jc w:val="center"/>
              <w:rPr>
                <w:rFonts w:hint="eastAsia" w:ascii="仿宋_GB2312" w:hAnsi="仿宋_GB2312" w:eastAsia="仿宋_GB2312" w:cs="仿宋_GB2312"/>
                <w:b w:val="0"/>
                <w:bCs w:val="0"/>
                <w:color w:val="000000"/>
                <w:kern w:val="0"/>
                <w:sz w:val="24"/>
                <w:szCs w:val="24"/>
                <w:lang w:val="en-US" w:eastAsia="zh-CN"/>
              </w:rPr>
            </w:pPr>
            <w:r>
              <w:rPr>
                <w:rFonts w:hint="eastAsia" w:ascii="仿宋_GB2312" w:hAnsi="仿宋_GB2312" w:eastAsia="仿宋_GB2312" w:cs="仿宋_GB2312"/>
                <w:b w:val="0"/>
                <w:bCs w:val="0"/>
                <w:color w:val="000000"/>
                <w:kern w:val="0"/>
                <w:sz w:val="24"/>
                <w:szCs w:val="24"/>
                <w:lang w:val="en-US" w:eastAsia="zh-CN"/>
              </w:rPr>
              <w:t>（周三）</w:t>
            </w:r>
          </w:p>
          <w:p>
            <w:pPr>
              <w:widowControl/>
              <w:jc w:val="center"/>
              <w:rPr>
                <w:rFonts w:hint="eastAsia" w:ascii="仿宋_GB2312" w:hAnsi="仿宋_GB2312" w:eastAsia="仿宋_GB2312" w:cs="仿宋_GB2312"/>
                <w:b w:val="0"/>
                <w:bCs w:val="0"/>
                <w:color w:val="000000"/>
                <w:kern w:val="0"/>
                <w:sz w:val="24"/>
                <w:szCs w:val="24"/>
                <w:lang w:val="en-US" w:eastAsia="zh-CN"/>
              </w:rPr>
            </w:pPr>
          </w:p>
        </w:tc>
        <w:tc>
          <w:tcPr>
            <w:tcW w:w="181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val="0"/>
                <w:bCs w:val="0"/>
                <w:color w:val="000000"/>
                <w:kern w:val="0"/>
                <w:sz w:val="24"/>
                <w:szCs w:val="24"/>
              </w:rPr>
            </w:pPr>
            <w:r>
              <w:rPr>
                <w:rFonts w:hint="eastAsia" w:ascii="仿宋_GB2312" w:hAnsi="仿宋_GB2312" w:eastAsia="仿宋_GB2312" w:cs="仿宋_GB2312"/>
                <w:b w:val="0"/>
                <w:bCs w:val="0"/>
                <w:color w:val="000000"/>
                <w:kern w:val="0"/>
                <w:sz w:val="24"/>
                <w:szCs w:val="24"/>
              </w:rPr>
              <w:t>9：00-12：00</w:t>
            </w:r>
          </w:p>
        </w:tc>
        <w:tc>
          <w:tcPr>
            <w:tcW w:w="183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我国知识产权审判情况</w:t>
            </w:r>
          </w:p>
        </w:tc>
        <w:tc>
          <w:tcPr>
            <w:tcW w:w="2475"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介绍我国知识产权审判</w:t>
            </w:r>
            <w:r>
              <w:rPr>
                <w:rFonts w:hint="eastAsia" w:ascii="仿宋_GB2312" w:hAnsi="仿宋_GB2312" w:eastAsia="仿宋_GB2312" w:cs="仿宋_GB2312"/>
                <w:b w:val="0"/>
                <w:bCs w:val="0"/>
                <w:color w:val="000000"/>
                <w:kern w:val="0"/>
                <w:sz w:val="24"/>
                <w:szCs w:val="24"/>
                <w:lang w:val="en-US" w:eastAsia="zh-CN"/>
              </w:rPr>
              <w:t>及涉外知识产权审判</w:t>
            </w:r>
            <w:r>
              <w:rPr>
                <w:rFonts w:hint="eastAsia" w:ascii="仿宋_GB2312" w:hAnsi="仿宋_GB2312" w:eastAsia="仿宋_GB2312" w:cs="仿宋_GB2312"/>
                <w:b w:val="0"/>
                <w:bCs w:val="0"/>
                <w:color w:val="000000"/>
                <w:kern w:val="0"/>
                <w:sz w:val="24"/>
                <w:szCs w:val="24"/>
              </w:rPr>
              <w:t>开展情况、存在的问题，如何做好知识产权审判等</w:t>
            </w:r>
          </w:p>
        </w:tc>
        <w:tc>
          <w:tcPr>
            <w:tcW w:w="174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lang w:val="en-US" w:eastAsia="zh-CN"/>
              </w:rPr>
              <w:t>殷少平副教授</w:t>
            </w:r>
          </w:p>
        </w:tc>
      </w:tr>
      <w:tr>
        <w:tblPrEx>
          <w:tblCellMar>
            <w:top w:w="0" w:type="dxa"/>
            <w:left w:w="108" w:type="dxa"/>
            <w:bottom w:w="0" w:type="dxa"/>
            <w:right w:w="108" w:type="dxa"/>
          </w:tblCellMar>
        </w:tblPrEx>
        <w:trPr>
          <w:trHeight w:val="1453" w:hRule="atLeast"/>
        </w:trPr>
        <w:tc>
          <w:tcPr>
            <w:tcW w:w="131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val="0"/>
                <w:bCs w:val="0"/>
                <w:color w:val="000000"/>
                <w:kern w:val="0"/>
                <w:sz w:val="24"/>
                <w:szCs w:val="24"/>
                <w:lang w:val="en-US" w:eastAsia="zh-CN"/>
              </w:rPr>
            </w:pPr>
          </w:p>
        </w:tc>
        <w:tc>
          <w:tcPr>
            <w:tcW w:w="181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val="0"/>
                <w:bCs w:val="0"/>
                <w:color w:val="000000"/>
                <w:kern w:val="0"/>
                <w:sz w:val="24"/>
                <w:szCs w:val="24"/>
              </w:rPr>
            </w:pPr>
            <w:r>
              <w:rPr>
                <w:rFonts w:hint="eastAsia" w:ascii="仿宋_GB2312" w:hAnsi="仿宋_GB2312" w:eastAsia="仿宋_GB2312" w:cs="仿宋_GB2312"/>
                <w:b w:val="0"/>
                <w:bCs w:val="0"/>
                <w:color w:val="000000"/>
                <w:kern w:val="0"/>
                <w:sz w:val="24"/>
                <w:szCs w:val="24"/>
              </w:rPr>
              <w:t>14：30-17：30</w:t>
            </w:r>
          </w:p>
        </w:tc>
        <w:tc>
          <w:tcPr>
            <w:tcW w:w="183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世界知识产权组织与知识产权国际公约</w:t>
            </w:r>
          </w:p>
        </w:tc>
        <w:tc>
          <w:tcPr>
            <w:tcW w:w="2475"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sz w:val="24"/>
                <w:szCs w:val="24"/>
              </w:rPr>
              <w:t xml:space="preserve"> 介绍最重要的知识产权国际组织世界知识产权组织，介绍国际上的主要知识产权国际公约，其中重点介绍我国参加的知识产权公约和条约</w:t>
            </w:r>
          </w:p>
        </w:tc>
        <w:tc>
          <w:tcPr>
            <w:tcW w:w="1740" w:type="dxa"/>
            <w:tcBorders>
              <w:top w:val="single" w:color="auto" w:sz="4" w:space="0"/>
              <w:left w:val="single" w:color="auto" w:sz="4" w:space="0"/>
              <w:bottom w:val="single" w:color="auto" w:sz="4" w:space="0"/>
              <w:right w:val="single" w:color="auto" w:sz="4" w:space="0"/>
            </w:tcBorders>
            <w:noWrap w:val="0"/>
            <w:vAlign w:val="center"/>
          </w:tcPr>
          <w:p>
            <w:pPr>
              <w:widowControl/>
              <w:ind w:firstLine="240" w:firstLineChars="100"/>
              <w:jc w:val="center"/>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万 勇教授</w:t>
            </w:r>
          </w:p>
        </w:tc>
      </w:tr>
      <w:tr>
        <w:tblPrEx>
          <w:tblCellMar>
            <w:top w:w="0" w:type="dxa"/>
            <w:left w:w="108" w:type="dxa"/>
            <w:bottom w:w="0" w:type="dxa"/>
            <w:right w:w="108" w:type="dxa"/>
          </w:tblCellMar>
        </w:tblPrEx>
        <w:trPr>
          <w:trHeight w:val="1245" w:hRule="atLeast"/>
        </w:trPr>
        <w:tc>
          <w:tcPr>
            <w:tcW w:w="131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val="0"/>
                <w:bCs w:val="0"/>
                <w:color w:val="000000"/>
                <w:kern w:val="0"/>
                <w:sz w:val="24"/>
                <w:szCs w:val="24"/>
                <w:lang w:val="en-US" w:eastAsia="zh-CN"/>
              </w:rPr>
            </w:pPr>
          </w:p>
        </w:tc>
        <w:tc>
          <w:tcPr>
            <w:tcW w:w="181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val="0"/>
                <w:bCs w:val="0"/>
                <w:color w:val="000000"/>
                <w:kern w:val="0"/>
                <w:sz w:val="24"/>
                <w:szCs w:val="24"/>
              </w:rPr>
            </w:pPr>
            <w:r>
              <w:rPr>
                <w:rFonts w:hint="eastAsia" w:ascii="仿宋_GB2312" w:hAnsi="仿宋_GB2312" w:eastAsia="仿宋_GB2312" w:cs="仿宋_GB2312"/>
                <w:b w:val="0"/>
                <w:bCs w:val="0"/>
                <w:color w:val="000000"/>
                <w:kern w:val="0"/>
                <w:sz w:val="24"/>
                <w:szCs w:val="24"/>
              </w:rPr>
              <w:t>18：30-21：</w:t>
            </w:r>
            <w:r>
              <w:rPr>
                <w:rFonts w:hint="eastAsia" w:ascii="仿宋_GB2312" w:hAnsi="仿宋_GB2312" w:eastAsia="仿宋_GB2312" w:cs="仿宋_GB2312"/>
                <w:b w:val="0"/>
                <w:bCs w:val="0"/>
                <w:color w:val="000000"/>
                <w:kern w:val="0"/>
                <w:sz w:val="24"/>
                <w:szCs w:val="24"/>
                <w:lang w:val="en-US" w:eastAsia="zh-CN"/>
              </w:rPr>
              <w:t>0</w:t>
            </w:r>
            <w:r>
              <w:rPr>
                <w:rFonts w:hint="eastAsia" w:ascii="仿宋_GB2312" w:hAnsi="仿宋_GB2312" w:eastAsia="仿宋_GB2312" w:cs="仿宋_GB2312"/>
                <w:b w:val="0"/>
                <w:bCs w:val="0"/>
                <w:color w:val="000000"/>
                <w:kern w:val="0"/>
                <w:sz w:val="24"/>
                <w:szCs w:val="24"/>
              </w:rPr>
              <w:t>0</w:t>
            </w:r>
          </w:p>
        </w:tc>
        <w:tc>
          <w:tcPr>
            <w:tcW w:w="4305"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both"/>
              <w:rPr>
                <w:rFonts w:hint="eastAsia" w:ascii="仿宋_GB2312" w:hAnsi="仿宋_GB2312" w:eastAsia="仿宋_GB2312" w:cs="仿宋_GB2312"/>
                <w:b w:val="0"/>
                <w:bCs w:val="0"/>
                <w:kern w:val="0"/>
                <w:sz w:val="24"/>
                <w:szCs w:val="24"/>
                <w:lang w:val="en-US" w:eastAsia="zh-CN"/>
              </w:rPr>
            </w:pPr>
            <w:r>
              <w:rPr>
                <w:rFonts w:hint="eastAsia" w:ascii="仿宋_GB2312" w:hAnsi="仿宋_GB2312" w:eastAsia="仿宋_GB2312" w:cs="仿宋_GB2312"/>
                <w:b w:val="0"/>
                <w:bCs w:val="0"/>
                <w:color w:val="000000"/>
                <w:kern w:val="0"/>
                <w:sz w:val="24"/>
                <w:szCs w:val="24"/>
                <w:lang w:val="en-US" w:eastAsia="zh-CN"/>
              </w:rPr>
              <w:t>案例分组研讨，就上午授课实务案例开展分组讨论</w:t>
            </w:r>
          </w:p>
        </w:tc>
        <w:tc>
          <w:tcPr>
            <w:tcW w:w="1740" w:type="dxa"/>
            <w:tcBorders>
              <w:top w:val="single" w:color="auto" w:sz="4" w:space="0"/>
              <w:left w:val="single" w:color="auto" w:sz="4" w:space="0"/>
              <w:bottom w:val="single" w:color="auto" w:sz="4" w:space="0"/>
              <w:right w:val="single" w:color="auto" w:sz="4" w:space="0"/>
            </w:tcBorders>
            <w:noWrap w:val="0"/>
            <w:vAlign w:val="center"/>
          </w:tcPr>
          <w:p>
            <w:pPr>
              <w:widowControl/>
              <w:ind w:firstLine="0" w:firstLineChars="0"/>
              <w:jc w:val="both"/>
              <w:rPr>
                <w:rFonts w:hint="eastAsia" w:ascii="仿宋_GB2312" w:hAnsi="仿宋_GB2312" w:eastAsia="仿宋_GB2312" w:cs="仿宋_GB2312"/>
                <w:b w:val="0"/>
                <w:bCs w:val="0"/>
                <w:color w:val="000000"/>
                <w:kern w:val="0"/>
                <w:sz w:val="24"/>
                <w:szCs w:val="24"/>
                <w:lang w:val="en-US" w:eastAsia="zh-CN"/>
              </w:rPr>
            </w:pPr>
            <w:r>
              <w:rPr>
                <w:rFonts w:hint="eastAsia" w:ascii="仿宋_GB2312" w:hAnsi="仿宋_GB2312" w:eastAsia="仿宋_GB2312" w:cs="仿宋_GB2312"/>
                <w:b w:val="0"/>
                <w:bCs w:val="0"/>
                <w:kern w:val="0"/>
                <w:sz w:val="24"/>
                <w:szCs w:val="24"/>
                <w:lang w:val="en-US" w:eastAsia="zh-CN"/>
              </w:rPr>
              <w:t>殷少平副教授</w:t>
            </w:r>
          </w:p>
        </w:tc>
      </w:tr>
      <w:tr>
        <w:tblPrEx>
          <w:tblCellMar>
            <w:top w:w="0" w:type="dxa"/>
            <w:left w:w="108" w:type="dxa"/>
            <w:bottom w:w="0" w:type="dxa"/>
            <w:right w:w="108" w:type="dxa"/>
          </w:tblCellMar>
        </w:tblPrEx>
        <w:trPr>
          <w:trHeight w:val="2569" w:hRule="atLeast"/>
        </w:trPr>
        <w:tc>
          <w:tcPr>
            <w:tcW w:w="1310"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both"/>
              <w:rPr>
                <w:rFonts w:hint="eastAsia" w:ascii="仿宋_GB2312" w:hAnsi="仿宋_GB2312" w:eastAsia="仿宋_GB2312" w:cs="仿宋_GB2312"/>
                <w:b w:val="0"/>
                <w:bCs w:val="0"/>
                <w:color w:val="000000"/>
                <w:kern w:val="0"/>
                <w:sz w:val="24"/>
                <w:szCs w:val="24"/>
                <w:lang w:val="en-US" w:eastAsia="zh-CN"/>
              </w:rPr>
            </w:pPr>
            <w:r>
              <w:rPr>
                <w:rFonts w:hint="eastAsia" w:ascii="仿宋_GB2312" w:hAnsi="仿宋_GB2312" w:eastAsia="仿宋_GB2312" w:cs="仿宋_GB2312"/>
                <w:b w:val="0"/>
                <w:bCs w:val="0"/>
                <w:color w:val="000000"/>
                <w:kern w:val="0"/>
                <w:sz w:val="24"/>
                <w:szCs w:val="24"/>
                <w:lang w:val="en-US" w:eastAsia="zh-CN"/>
              </w:rPr>
              <w:t>4月11日</w:t>
            </w:r>
          </w:p>
          <w:p>
            <w:pPr>
              <w:widowControl/>
              <w:jc w:val="center"/>
              <w:rPr>
                <w:rFonts w:hint="eastAsia" w:ascii="仿宋_GB2312" w:hAnsi="仿宋_GB2312" w:eastAsia="仿宋_GB2312" w:cs="仿宋_GB2312"/>
                <w:b w:val="0"/>
                <w:bCs w:val="0"/>
                <w:color w:val="000000"/>
                <w:kern w:val="0"/>
                <w:sz w:val="24"/>
                <w:szCs w:val="24"/>
                <w:lang w:val="en-US" w:eastAsia="zh-CN"/>
              </w:rPr>
            </w:pPr>
            <w:r>
              <w:rPr>
                <w:rFonts w:hint="eastAsia" w:ascii="仿宋_GB2312" w:hAnsi="仿宋_GB2312" w:eastAsia="仿宋_GB2312" w:cs="仿宋_GB2312"/>
                <w:b w:val="0"/>
                <w:bCs w:val="0"/>
                <w:color w:val="000000"/>
                <w:kern w:val="0"/>
                <w:sz w:val="24"/>
                <w:szCs w:val="24"/>
                <w:lang w:val="en-US" w:eastAsia="zh-CN"/>
              </w:rPr>
              <w:t>（周四）</w:t>
            </w:r>
          </w:p>
          <w:p>
            <w:pPr>
              <w:widowControl/>
              <w:jc w:val="center"/>
              <w:rPr>
                <w:rFonts w:hint="eastAsia" w:ascii="仿宋_GB2312" w:hAnsi="仿宋_GB2312" w:eastAsia="仿宋_GB2312" w:cs="仿宋_GB2312"/>
                <w:b w:val="0"/>
                <w:bCs w:val="0"/>
                <w:color w:val="000000"/>
                <w:kern w:val="0"/>
                <w:sz w:val="24"/>
                <w:szCs w:val="24"/>
                <w:lang w:val="en-US" w:eastAsia="zh-CN"/>
              </w:rPr>
            </w:pPr>
          </w:p>
        </w:tc>
        <w:tc>
          <w:tcPr>
            <w:tcW w:w="181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val="0"/>
                <w:bCs w:val="0"/>
                <w:color w:val="000000"/>
                <w:kern w:val="0"/>
                <w:sz w:val="24"/>
                <w:szCs w:val="24"/>
              </w:rPr>
            </w:pPr>
            <w:r>
              <w:rPr>
                <w:rFonts w:hint="eastAsia" w:ascii="仿宋_GB2312" w:hAnsi="仿宋_GB2312" w:eastAsia="仿宋_GB2312" w:cs="仿宋_GB2312"/>
                <w:b w:val="0"/>
                <w:bCs w:val="0"/>
                <w:color w:val="000000"/>
                <w:kern w:val="0"/>
                <w:sz w:val="24"/>
                <w:szCs w:val="24"/>
              </w:rPr>
              <w:t>9：00-12：00</w:t>
            </w:r>
          </w:p>
        </w:tc>
        <w:tc>
          <w:tcPr>
            <w:tcW w:w="183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国际反不正当竞争与反垄断典型案例研讨</w:t>
            </w:r>
          </w:p>
        </w:tc>
        <w:tc>
          <w:tcPr>
            <w:tcW w:w="2475"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介绍国际反不正当竞争与反垄断的典型案例，通过案例介绍制度规则，并通过比较分析，帮助学员系统掌握反不正当竞争与反垄断的法律体系</w:t>
            </w:r>
          </w:p>
        </w:tc>
        <w:tc>
          <w:tcPr>
            <w:tcW w:w="1740" w:type="dxa"/>
            <w:tcBorders>
              <w:top w:val="single" w:color="auto" w:sz="4" w:space="0"/>
              <w:left w:val="single" w:color="auto" w:sz="4" w:space="0"/>
              <w:bottom w:val="single" w:color="auto" w:sz="4" w:space="0"/>
              <w:right w:val="single" w:color="auto" w:sz="4" w:space="0"/>
            </w:tcBorders>
            <w:noWrap w:val="0"/>
            <w:vAlign w:val="center"/>
          </w:tcPr>
          <w:p>
            <w:pPr>
              <w:widowControl/>
              <w:ind w:firstLine="240" w:firstLineChars="100"/>
              <w:jc w:val="both"/>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kern w:val="0"/>
                <w:sz w:val="24"/>
                <w:szCs w:val="24"/>
              </w:rPr>
              <w:t>孟雁北教授</w:t>
            </w:r>
          </w:p>
        </w:tc>
      </w:tr>
      <w:tr>
        <w:tblPrEx>
          <w:tblCellMar>
            <w:top w:w="0" w:type="dxa"/>
            <w:left w:w="108" w:type="dxa"/>
            <w:bottom w:w="0" w:type="dxa"/>
            <w:right w:w="108" w:type="dxa"/>
          </w:tblCellMar>
        </w:tblPrEx>
        <w:trPr>
          <w:trHeight w:val="2569" w:hRule="atLeast"/>
        </w:trPr>
        <w:tc>
          <w:tcPr>
            <w:tcW w:w="131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val="0"/>
                <w:bCs w:val="0"/>
                <w:color w:val="000000"/>
                <w:kern w:val="0"/>
                <w:sz w:val="24"/>
                <w:szCs w:val="24"/>
              </w:rPr>
            </w:pPr>
          </w:p>
        </w:tc>
        <w:tc>
          <w:tcPr>
            <w:tcW w:w="181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val="0"/>
                <w:bCs w:val="0"/>
                <w:color w:val="000000"/>
                <w:kern w:val="0"/>
                <w:sz w:val="24"/>
                <w:szCs w:val="24"/>
              </w:rPr>
            </w:pPr>
            <w:r>
              <w:rPr>
                <w:rFonts w:hint="eastAsia" w:ascii="仿宋_GB2312" w:hAnsi="仿宋_GB2312" w:eastAsia="仿宋_GB2312" w:cs="仿宋_GB2312"/>
                <w:b w:val="0"/>
                <w:bCs w:val="0"/>
                <w:color w:val="000000"/>
                <w:kern w:val="0"/>
                <w:sz w:val="24"/>
                <w:szCs w:val="24"/>
              </w:rPr>
              <w:t>14：30-17：30</w:t>
            </w:r>
          </w:p>
        </w:tc>
        <w:tc>
          <w:tcPr>
            <w:tcW w:w="183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sz w:val="24"/>
                <w:szCs w:val="24"/>
              </w:rPr>
              <w:t>与贸易有关的知识产权</w:t>
            </w:r>
            <w:r>
              <w:rPr>
                <w:rFonts w:hint="eastAsia" w:ascii="仿宋_GB2312" w:hAnsi="仿宋_GB2312" w:eastAsia="仿宋_GB2312" w:cs="仿宋_GB2312"/>
                <w:b w:val="0"/>
                <w:bCs w:val="0"/>
                <w:sz w:val="24"/>
                <w:szCs w:val="24"/>
                <w:lang w:val="en-US" w:eastAsia="zh-CN"/>
              </w:rPr>
              <w:t>保护</w:t>
            </w:r>
          </w:p>
        </w:tc>
        <w:tc>
          <w:tcPr>
            <w:tcW w:w="2475"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 xml:space="preserve"> </w:t>
            </w:r>
            <w:r>
              <w:rPr>
                <w:rFonts w:hint="eastAsia" w:ascii="仿宋_GB2312" w:hAnsi="仿宋_GB2312" w:eastAsia="仿宋_GB2312" w:cs="仿宋_GB2312"/>
                <w:b w:val="0"/>
                <w:bCs w:val="0"/>
                <w:kern w:val="0"/>
                <w:sz w:val="24"/>
                <w:szCs w:val="24"/>
                <w:lang w:bidi="ar"/>
              </w:rPr>
              <w:t>知识产权保护可能成为贸易壁垒，讲解与自由贸易有关的知识产权问题及相关公约条约等</w:t>
            </w:r>
          </w:p>
        </w:tc>
        <w:tc>
          <w:tcPr>
            <w:tcW w:w="1740" w:type="dxa"/>
            <w:tcBorders>
              <w:top w:val="single" w:color="auto" w:sz="4" w:space="0"/>
              <w:left w:val="single" w:color="auto" w:sz="4" w:space="0"/>
              <w:bottom w:val="single" w:color="auto" w:sz="4" w:space="0"/>
              <w:right w:val="single" w:color="auto" w:sz="4" w:space="0"/>
            </w:tcBorders>
            <w:noWrap w:val="0"/>
            <w:vAlign w:val="center"/>
          </w:tcPr>
          <w:p>
            <w:pPr>
              <w:widowControl/>
              <w:ind w:firstLine="240" w:firstLineChars="100"/>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张广良教授</w:t>
            </w:r>
          </w:p>
        </w:tc>
      </w:tr>
      <w:tr>
        <w:tblPrEx>
          <w:tblCellMar>
            <w:top w:w="0" w:type="dxa"/>
            <w:left w:w="108" w:type="dxa"/>
            <w:bottom w:w="0" w:type="dxa"/>
            <w:right w:w="108" w:type="dxa"/>
          </w:tblCellMar>
        </w:tblPrEx>
        <w:trPr>
          <w:trHeight w:val="1433" w:hRule="atLeast"/>
        </w:trPr>
        <w:tc>
          <w:tcPr>
            <w:tcW w:w="131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val="0"/>
                <w:bCs w:val="0"/>
                <w:color w:val="000000"/>
                <w:kern w:val="0"/>
                <w:sz w:val="24"/>
                <w:szCs w:val="24"/>
              </w:rPr>
            </w:pPr>
          </w:p>
        </w:tc>
        <w:tc>
          <w:tcPr>
            <w:tcW w:w="181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18：30-21：</w:t>
            </w:r>
            <w:r>
              <w:rPr>
                <w:rFonts w:hint="eastAsia" w:ascii="仿宋_GB2312" w:hAnsi="仿宋_GB2312" w:eastAsia="仿宋_GB2312" w:cs="仿宋_GB2312"/>
                <w:b w:val="0"/>
                <w:bCs w:val="0"/>
                <w:color w:val="000000"/>
                <w:kern w:val="0"/>
                <w:sz w:val="24"/>
                <w:szCs w:val="24"/>
                <w:lang w:val="en-US" w:eastAsia="zh-CN"/>
              </w:rPr>
              <w:t>0</w:t>
            </w:r>
            <w:r>
              <w:rPr>
                <w:rFonts w:hint="eastAsia" w:ascii="仿宋_GB2312" w:hAnsi="仿宋_GB2312" w:eastAsia="仿宋_GB2312" w:cs="仿宋_GB2312"/>
                <w:b w:val="0"/>
                <w:bCs w:val="0"/>
                <w:color w:val="000000"/>
                <w:kern w:val="0"/>
                <w:sz w:val="24"/>
                <w:szCs w:val="24"/>
              </w:rPr>
              <w:t>0</w:t>
            </w:r>
          </w:p>
        </w:tc>
        <w:tc>
          <w:tcPr>
            <w:tcW w:w="18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b w:val="0"/>
                <w:bCs w:val="0"/>
                <w:kern w:val="2"/>
                <w:sz w:val="24"/>
                <w:szCs w:val="24"/>
                <w:lang w:val="en-US" w:eastAsia="zh-CN" w:bidi="ar-SA"/>
              </w:rPr>
            </w:pPr>
            <w:r>
              <w:rPr>
                <w:rFonts w:hint="eastAsia" w:ascii="仿宋_GB2312" w:hAnsi="仿宋_GB2312" w:eastAsia="仿宋_GB2312" w:cs="仿宋_GB2312"/>
                <w:b w:val="0"/>
                <w:bCs w:val="0"/>
                <w:sz w:val="24"/>
                <w:szCs w:val="24"/>
              </w:rPr>
              <w:t>域外专利典型案例研讨分析</w:t>
            </w:r>
          </w:p>
        </w:tc>
        <w:tc>
          <w:tcPr>
            <w:tcW w:w="2475"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b w:val="0"/>
                <w:bCs w:val="0"/>
                <w:kern w:val="2"/>
                <w:sz w:val="24"/>
                <w:szCs w:val="24"/>
                <w:lang w:val="en-US" w:eastAsia="zh-CN" w:bidi="ar-SA"/>
              </w:rPr>
            </w:pPr>
            <w:r>
              <w:rPr>
                <w:rFonts w:hint="eastAsia" w:ascii="仿宋_GB2312" w:hAnsi="仿宋_GB2312" w:eastAsia="仿宋_GB2312" w:cs="仿宋_GB2312"/>
                <w:b w:val="0"/>
                <w:bCs w:val="0"/>
                <w:sz w:val="24"/>
                <w:szCs w:val="24"/>
                <w:lang w:val="en-US" w:eastAsia="zh-CN"/>
              </w:rPr>
              <w:t>通过对</w:t>
            </w:r>
            <w:r>
              <w:rPr>
                <w:rFonts w:hint="eastAsia" w:ascii="仿宋_GB2312" w:hAnsi="仿宋_GB2312" w:eastAsia="仿宋_GB2312" w:cs="仿宋_GB2312"/>
                <w:b w:val="0"/>
                <w:bCs w:val="0"/>
                <w:sz w:val="24"/>
                <w:szCs w:val="24"/>
              </w:rPr>
              <w:t>域外专利典型案例</w:t>
            </w:r>
            <w:r>
              <w:rPr>
                <w:rFonts w:hint="eastAsia" w:ascii="仿宋_GB2312" w:hAnsi="仿宋_GB2312" w:eastAsia="仿宋_GB2312" w:cs="仿宋_GB2312"/>
                <w:b w:val="0"/>
                <w:bCs w:val="0"/>
                <w:sz w:val="24"/>
                <w:szCs w:val="24"/>
                <w:lang w:val="en-US" w:eastAsia="zh-CN"/>
              </w:rPr>
              <w:t>的讲解、分析，介绍域外专利制度与实务</w:t>
            </w:r>
          </w:p>
        </w:tc>
        <w:tc>
          <w:tcPr>
            <w:tcW w:w="174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val="0"/>
                <w:bCs w:val="0"/>
                <w:kern w:val="0"/>
                <w:sz w:val="24"/>
                <w:szCs w:val="24"/>
                <w:lang w:val="en-US" w:eastAsia="zh-CN" w:bidi="ar-SA"/>
              </w:rPr>
            </w:pPr>
            <w:r>
              <w:rPr>
                <w:rFonts w:hint="eastAsia" w:ascii="仿宋_GB2312" w:hAnsi="仿宋_GB2312" w:eastAsia="仿宋_GB2312" w:cs="仿宋_GB2312"/>
                <w:b w:val="0"/>
                <w:bCs w:val="0"/>
                <w:kern w:val="0"/>
                <w:sz w:val="24"/>
                <w:szCs w:val="24"/>
              </w:rPr>
              <w:t>张吉豫副教授</w:t>
            </w:r>
          </w:p>
        </w:tc>
      </w:tr>
      <w:tr>
        <w:tblPrEx>
          <w:tblCellMar>
            <w:top w:w="0" w:type="dxa"/>
            <w:left w:w="108" w:type="dxa"/>
            <w:bottom w:w="0" w:type="dxa"/>
            <w:right w:w="108" w:type="dxa"/>
          </w:tblCellMar>
        </w:tblPrEx>
        <w:trPr>
          <w:trHeight w:val="2034" w:hRule="atLeast"/>
        </w:trPr>
        <w:tc>
          <w:tcPr>
            <w:tcW w:w="1310"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both"/>
              <w:rPr>
                <w:rFonts w:hint="eastAsia" w:ascii="仿宋_GB2312" w:hAnsi="仿宋_GB2312" w:eastAsia="仿宋_GB2312" w:cs="仿宋_GB2312"/>
                <w:b w:val="0"/>
                <w:bCs w:val="0"/>
                <w:color w:val="000000"/>
                <w:kern w:val="0"/>
                <w:sz w:val="24"/>
                <w:szCs w:val="24"/>
                <w:lang w:val="en-US" w:eastAsia="zh-CN"/>
              </w:rPr>
            </w:pPr>
            <w:r>
              <w:rPr>
                <w:rFonts w:hint="eastAsia" w:ascii="仿宋_GB2312" w:hAnsi="仿宋_GB2312" w:eastAsia="仿宋_GB2312" w:cs="仿宋_GB2312"/>
                <w:b w:val="0"/>
                <w:bCs w:val="0"/>
                <w:color w:val="000000"/>
                <w:kern w:val="0"/>
                <w:sz w:val="24"/>
                <w:szCs w:val="24"/>
                <w:lang w:val="en-US" w:eastAsia="zh-CN"/>
              </w:rPr>
              <w:t>4月12日</w:t>
            </w:r>
          </w:p>
          <w:p>
            <w:pPr>
              <w:widowControl/>
              <w:jc w:val="center"/>
              <w:rPr>
                <w:rFonts w:hint="eastAsia" w:ascii="仿宋_GB2312" w:hAnsi="仿宋_GB2312" w:eastAsia="仿宋_GB2312" w:cs="仿宋_GB2312"/>
                <w:b w:val="0"/>
                <w:bCs w:val="0"/>
                <w:color w:val="000000"/>
                <w:kern w:val="0"/>
                <w:sz w:val="24"/>
                <w:szCs w:val="24"/>
                <w:lang w:val="en-US" w:eastAsia="zh-CN"/>
              </w:rPr>
            </w:pPr>
            <w:r>
              <w:rPr>
                <w:rFonts w:hint="eastAsia" w:ascii="仿宋_GB2312" w:hAnsi="仿宋_GB2312" w:eastAsia="仿宋_GB2312" w:cs="仿宋_GB2312"/>
                <w:b w:val="0"/>
                <w:bCs w:val="0"/>
                <w:color w:val="000000"/>
                <w:kern w:val="0"/>
                <w:sz w:val="24"/>
                <w:szCs w:val="24"/>
                <w:lang w:val="en-US" w:eastAsia="zh-CN"/>
              </w:rPr>
              <w:t>（周五）</w:t>
            </w:r>
          </w:p>
          <w:p>
            <w:pPr>
              <w:widowControl/>
              <w:jc w:val="center"/>
              <w:rPr>
                <w:rFonts w:hint="eastAsia" w:ascii="仿宋_GB2312" w:hAnsi="仿宋_GB2312" w:eastAsia="仿宋_GB2312" w:cs="仿宋_GB2312"/>
                <w:b w:val="0"/>
                <w:bCs w:val="0"/>
                <w:color w:val="000000"/>
                <w:kern w:val="0"/>
                <w:sz w:val="24"/>
                <w:szCs w:val="24"/>
                <w:lang w:val="en-US" w:eastAsia="zh-CN"/>
              </w:rPr>
            </w:pPr>
          </w:p>
        </w:tc>
        <w:tc>
          <w:tcPr>
            <w:tcW w:w="1815" w:type="dxa"/>
            <w:tcBorders>
              <w:top w:val="single" w:color="auto" w:sz="4" w:space="0"/>
              <w:left w:val="single" w:color="auto" w:sz="4" w:space="0"/>
              <w:bottom w:val="single" w:color="auto" w:sz="4" w:space="0"/>
              <w:right w:val="single" w:color="auto" w:sz="4" w:space="0"/>
            </w:tcBorders>
            <w:noWrap w:val="0"/>
            <w:vAlign w:val="center"/>
          </w:tcPr>
          <w:p>
            <w:pPr>
              <w:widowControl/>
              <w:rPr>
                <w:rFonts w:hint="eastAsia" w:ascii="仿宋_GB2312" w:hAnsi="仿宋_GB2312" w:eastAsia="仿宋_GB2312" w:cs="仿宋_GB2312"/>
                <w:b w:val="0"/>
                <w:bCs w:val="0"/>
                <w:color w:val="000000"/>
                <w:kern w:val="0"/>
                <w:sz w:val="24"/>
                <w:szCs w:val="24"/>
              </w:rPr>
            </w:pPr>
            <w:r>
              <w:rPr>
                <w:rFonts w:hint="eastAsia" w:ascii="仿宋_GB2312" w:hAnsi="仿宋_GB2312" w:eastAsia="仿宋_GB2312" w:cs="仿宋_GB2312"/>
                <w:b w:val="0"/>
                <w:bCs w:val="0"/>
                <w:color w:val="000000"/>
                <w:kern w:val="0"/>
                <w:sz w:val="24"/>
                <w:szCs w:val="24"/>
              </w:rPr>
              <w:t>9：00-12：00</w:t>
            </w:r>
          </w:p>
        </w:tc>
        <w:tc>
          <w:tcPr>
            <w:tcW w:w="183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sz w:val="24"/>
                <w:szCs w:val="24"/>
              </w:rPr>
              <w:t>域外著作权</w:t>
            </w:r>
            <w:r>
              <w:rPr>
                <w:rFonts w:hint="eastAsia" w:ascii="仿宋_GB2312" w:hAnsi="仿宋_GB2312" w:eastAsia="仿宋_GB2312" w:cs="仿宋_GB2312"/>
                <w:b w:val="0"/>
                <w:bCs w:val="0"/>
                <w:sz w:val="24"/>
                <w:szCs w:val="24"/>
                <w:lang w:val="en-US" w:eastAsia="zh-CN"/>
              </w:rPr>
              <w:t>理论、实务与</w:t>
            </w:r>
            <w:r>
              <w:rPr>
                <w:rFonts w:hint="eastAsia" w:ascii="仿宋_GB2312" w:hAnsi="仿宋_GB2312" w:eastAsia="仿宋_GB2312" w:cs="仿宋_GB2312"/>
                <w:b w:val="0"/>
                <w:bCs w:val="0"/>
                <w:sz w:val="24"/>
                <w:szCs w:val="24"/>
              </w:rPr>
              <w:t>典型案例研讨</w:t>
            </w:r>
          </w:p>
        </w:tc>
        <w:tc>
          <w:tcPr>
            <w:tcW w:w="2475"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通过域外著作权案例的研讨分析，介绍域外著作权保护制度及权利救济途径</w:t>
            </w:r>
          </w:p>
        </w:tc>
        <w:tc>
          <w:tcPr>
            <w:tcW w:w="174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kern w:val="0"/>
                <w:sz w:val="24"/>
                <w:szCs w:val="24"/>
                <w:lang w:val="en-US" w:eastAsia="zh-CN"/>
              </w:rPr>
              <w:t>姚欢庆副</w:t>
            </w:r>
            <w:r>
              <w:rPr>
                <w:rFonts w:hint="eastAsia" w:ascii="仿宋_GB2312" w:hAnsi="仿宋_GB2312" w:eastAsia="仿宋_GB2312" w:cs="仿宋_GB2312"/>
                <w:b w:val="0"/>
                <w:bCs w:val="0"/>
                <w:kern w:val="0"/>
                <w:sz w:val="24"/>
                <w:szCs w:val="24"/>
              </w:rPr>
              <w:t>教授</w:t>
            </w:r>
          </w:p>
        </w:tc>
      </w:tr>
      <w:tr>
        <w:tblPrEx>
          <w:tblCellMar>
            <w:top w:w="0" w:type="dxa"/>
            <w:left w:w="108" w:type="dxa"/>
            <w:bottom w:w="0" w:type="dxa"/>
            <w:right w:w="108" w:type="dxa"/>
          </w:tblCellMar>
        </w:tblPrEx>
        <w:trPr>
          <w:trHeight w:val="2034" w:hRule="atLeast"/>
        </w:trPr>
        <w:tc>
          <w:tcPr>
            <w:tcW w:w="131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val="0"/>
                <w:bCs w:val="0"/>
                <w:color w:val="000000"/>
                <w:kern w:val="0"/>
                <w:sz w:val="24"/>
                <w:szCs w:val="24"/>
                <w:lang w:val="en-US" w:eastAsia="zh-CN"/>
              </w:rPr>
            </w:pPr>
          </w:p>
        </w:tc>
        <w:tc>
          <w:tcPr>
            <w:tcW w:w="1815" w:type="dxa"/>
            <w:tcBorders>
              <w:top w:val="single" w:color="auto" w:sz="4" w:space="0"/>
              <w:left w:val="single" w:color="auto" w:sz="4" w:space="0"/>
              <w:bottom w:val="single" w:color="auto" w:sz="4" w:space="0"/>
              <w:right w:val="single" w:color="auto" w:sz="4" w:space="0"/>
            </w:tcBorders>
            <w:noWrap w:val="0"/>
            <w:vAlign w:val="center"/>
          </w:tcPr>
          <w:p>
            <w:pPr>
              <w:widowControl/>
              <w:rPr>
                <w:rFonts w:hint="eastAsia" w:ascii="仿宋_GB2312" w:hAnsi="仿宋_GB2312" w:eastAsia="仿宋_GB2312" w:cs="仿宋_GB2312"/>
                <w:b w:val="0"/>
                <w:bCs w:val="0"/>
                <w:color w:val="000000"/>
                <w:kern w:val="0"/>
                <w:sz w:val="24"/>
                <w:szCs w:val="24"/>
              </w:rPr>
            </w:pPr>
            <w:r>
              <w:rPr>
                <w:rFonts w:hint="eastAsia" w:ascii="仿宋_GB2312" w:hAnsi="仿宋_GB2312" w:eastAsia="仿宋_GB2312" w:cs="仿宋_GB2312"/>
                <w:b w:val="0"/>
                <w:bCs w:val="0"/>
                <w:color w:val="000000"/>
                <w:kern w:val="0"/>
                <w:sz w:val="24"/>
                <w:szCs w:val="24"/>
              </w:rPr>
              <w:t>1</w:t>
            </w:r>
            <w:r>
              <w:rPr>
                <w:rFonts w:hint="eastAsia" w:ascii="仿宋_GB2312" w:hAnsi="仿宋_GB2312" w:eastAsia="仿宋_GB2312" w:cs="仿宋_GB2312"/>
                <w:b w:val="0"/>
                <w:bCs w:val="0"/>
                <w:color w:val="000000"/>
                <w:kern w:val="0"/>
                <w:sz w:val="24"/>
                <w:szCs w:val="24"/>
                <w:lang w:val="en-US" w:eastAsia="zh-CN"/>
              </w:rPr>
              <w:t>3</w:t>
            </w:r>
            <w:r>
              <w:rPr>
                <w:rFonts w:hint="eastAsia" w:ascii="仿宋_GB2312" w:hAnsi="仿宋_GB2312" w:eastAsia="仿宋_GB2312" w:cs="仿宋_GB2312"/>
                <w:b w:val="0"/>
                <w:bCs w:val="0"/>
                <w:color w:val="000000"/>
                <w:kern w:val="0"/>
                <w:sz w:val="24"/>
                <w:szCs w:val="24"/>
              </w:rPr>
              <w:t>：</w:t>
            </w:r>
            <w:r>
              <w:rPr>
                <w:rFonts w:hint="eastAsia" w:ascii="仿宋_GB2312" w:hAnsi="仿宋_GB2312" w:eastAsia="仿宋_GB2312" w:cs="仿宋_GB2312"/>
                <w:b w:val="0"/>
                <w:bCs w:val="0"/>
                <w:color w:val="000000"/>
                <w:kern w:val="0"/>
                <w:sz w:val="24"/>
                <w:szCs w:val="24"/>
                <w:lang w:val="en-US" w:eastAsia="zh-CN"/>
              </w:rPr>
              <w:t>0</w:t>
            </w:r>
            <w:r>
              <w:rPr>
                <w:rFonts w:hint="eastAsia" w:ascii="仿宋_GB2312" w:hAnsi="仿宋_GB2312" w:eastAsia="仿宋_GB2312" w:cs="仿宋_GB2312"/>
                <w:b w:val="0"/>
                <w:bCs w:val="0"/>
                <w:color w:val="000000"/>
                <w:kern w:val="0"/>
                <w:sz w:val="24"/>
                <w:szCs w:val="24"/>
              </w:rPr>
              <w:t>0-17：30</w:t>
            </w:r>
          </w:p>
        </w:tc>
        <w:tc>
          <w:tcPr>
            <w:tcW w:w="1830" w:type="dxa"/>
            <w:tcBorders>
              <w:top w:val="single" w:color="auto" w:sz="4" w:space="0"/>
              <w:left w:val="single" w:color="auto" w:sz="4" w:space="0"/>
              <w:bottom w:val="single" w:color="auto" w:sz="4" w:space="0"/>
              <w:right w:val="single" w:color="auto" w:sz="4" w:space="0"/>
            </w:tcBorders>
            <w:noWrap w:val="0"/>
            <w:vAlign w:val="center"/>
          </w:tcPr>
          <w:p>
            <w:pPr>
              <w:widowControl/>
              <w:spacing w:line="276" w:lineRule="auto"/>
              <w:jc w:val="center"/>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实践教学：参访京东方公司</w:t>
            </w:r>
          </w:p>
        </w:tc>
        <w:tc>
          <w:tcPr>
            <w:tcW w:w="4215" w:type="dxa"/>
            <w:gridSpan w:val="2"/>
            <w:tcBorders>
              <w:top w:val="single" w:color="auto" w:sz="4" w:space="0"/>
              <w:left w:val="single" w:color="auto" w:sz="4" w:space="0"/>
              <w:bottom w:val="single" w:color="auto" w:sz="4" w:space="0"/>
              <w:right w:val="single" w:color="auto" w:sz="4" w:space="0"/>
            </w:tcBorders>
            <w:noWrap w:val="0"/>
            <w:vAlign w:val="center"/>
          </w:tcPr>
          <w:p>
            <w:pPr>
              <w:widowControl/>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京东方作为中国专利申请量排名靠前的公司，境内外的专利、商标申请以及知识产权涉外纠纷解决等方面都有丰富的经验，了解其业务并与相关人员座谈</w:t>
            </w:r>
          </w:p>
        </w:tc>
      </w:tr>
      <w:tr>
        <w:tblPrEx>
          <w:tblCellMar>
            <w:top w:w="0" w:type="dxa"/>
            <w:left w:w="108" w:type="dxa"/>
            <w:bottom w:w="0" w:type="dxa"/>
            <w:right w:w="108" w:type="dxa"/>
          </w:tblCellMar>
        </w:tblPrEx>
        <w:trPr>
          <w:trHeight w:val="1050" w:hRule="atLeast"/>
        </w:trPr>
        <w:tc>
          <w:tcPr>
            <w:tcW w:w="131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val="0"/>
                <w:bCs w:val="0"/>
                <w:color w:val="000000"/>
                <w:kern w:val="0"/>
                <w:sz w:val="24"/>
                <w:szCs w:val="24"/>
                <w:lang w:val="en-US" w:eastAsia="zh-CN"/>
              </w:rPr>
            </w:pPr>
          </w:p>
        </w:tc>
        <w:tc>
          <w:tcPr>
            <w:tcW w:w="1815" w:type="dxa"/>
            <w:tcBorders>
              <w:top w:val="single" w:color="auto" w:sz="4" w:space="0"/>
              <w:left w:val="single" w:color="auto" w:sz="4" w:space="0"/>
              <w:bottom w:val="single" w:color="auto" w:sz="4" w:space="0"/>
              <w:right w:val="single" w:color="auto" w:sz="4" w:space="0"/>
            </w:tcBorders>
            <w:noWrap w:val="0"/>
            <w:vAlign w:val="center"/>
          </w:tcPr>
          <w:p>
            <w:pPr>
              <w:widowControl/>
              <w:rPr>
                <w:rFonts w:hint="eastAsia" w:ascii="仿宋_GB2312" w:hAnsi="仿宋_GB2312" w:eastAsia="仿宋_GB2312" w:cs="仿宋_GB2312"/>
                <w:b w:val="0"/>
                <w:bCs w:val="0"/>
                <w:color w:val="000000"/>
                <w:kern w:val="0"/>
                <w:sz w:val="24"/>
                <w:szCs w:val="24"/>
              </w:rPr>
            </w:pPr>
            <w:r>
              <w:rPr>
                <w:rFonts w:hint="eastAsia" w:ascii="仿宋_GB2312" w:hAnsi="仿宋_GB2312" w:eastAsia="仿宋_GB2312" w:cs="仿宋_GB2312"/>
                <w:b w:val="0"/>
                <w:bCs w:val="0"/>
                <w:color w:val="000000"/>
                <w:kern w:val="0"/>
                <w:sz w:val="24"/>
                <w:szCs w:val="24"/>
              </w:rPr>
              <w:t>18：30-21：</w:t>
            </w:r>
            <w:r>
              <w:rPr>
                <w:rFonts w:hint="eastAsia" w:ascii="仿宋_GB2312" w:hAnsi="仿宋_GB2312" w:eastAsia="仿宋_GB2312" w:cs="仿宋_GB2312"/>
                <w:b w:val="0"/>
                <w:bCs w:val="0"/>
                <w:color w:val="000000"/>
                <w:kern w:val="0"/>
                <w:sz w:val="24"/>
                <w:szCs w:val="24"/>
                <w:lang w:val="en-US" w:eastAsia="zh-CN"/>
              </w:rPr>
              <w:t>0</w:t>
            </w:r>
            <w:r>
              <w:rPr>
                <w:rFonts w:hint="eastAsia" w:ascii="仿宋_GB2312" w:hAnsi="仿宋_GB2312" w:eastAsia="仿宋_GB2312" w:cs="仿宋_GB2312"/>
                <w:b w:val="0"/>
                <w:bCs w:val="0"/>
                <w:color w:val="000000"/>
                <w:kern w:val="0"/>
                <w:sz w:val="24"/>
                <w:szCs w:val="24"/>
              </w:rPr>
              <w:t>0</w:t>
            </w:r>
          </w:p>
        </w:tc>
        <w:tc>
          <w:tcPr>
            <w:tcW w:w="4305" w:type="dxa"/>
            <w:gridSpan w:val="2"/>
            <w:tcBorders>
              <w:top w:val="single" w:color="auto" w:sz="4" w:space="0"/>
              <w:left w:val="single" w:color="auto" w:sz="4" w:space="0"/>
              <w:bottom w:val="single" w:color="auto" w:sz="4" w:space="0"/>
              <w:right w:val="single" w:color="auto" w:sz="4" w:space="0"/>
            </w:tcBorders>
            <w:noWrap w:val="0"/>
            <w:vAlign w:val="center"/>
          </w:tcPr>
          <w:p>
            <w:pPr>
              <w:widowControl/>
              <w:rPr>
                <w:rFonts w:hint="eastAsia" w:ascii="仿宋_GB2312" w:hAnsi="仿宋_GB2312" w:eastAsia="仿宋_GB2312" w:cs="仿宋_GB2312"/>
                <w:b w:val="0"/>
                <w:bCs w:val="0"/>
                <w:color w:val="000000"/>
                <w:kern w:val="0"/>
                <w:sz w:val="24"/>
                <w:szCs w:val="24"/>
              </w:rPr>
            </w:pPr>
            <w:r>
              <w:rPr>
                <w:rFonts w:hint="eastAsia" w:ascii="仿宋_GB2312" w:hAnsi="仿宋_GB2312" w:eastAsia="仿宋_GB2312" w:cs="仿宋_GB2312"/>
                <w:b w:val="0"/>
                <w:bCs w:val="0"/>
                <w:color w:val="000000"/>
                <w:kern w:val="0"/>
                <w:sz w:val="24"/>
                <w:szCs w:val="24"/>
                <w:lang w:val="en-US" w:eastAsia="zh-CN"/>
              </w:rPr>
              <w:t>就上午课程案例以及下午参访进行分组研讨、分享心得</w:t>
            </w:r>
          </w:p>
        </w:tc>
        <w:tc>
          <w:tcPr>
            <w:tcW w:w="1740" w:type="dxa"/>
            <w:tcBorders>
              <w:top w:val="single" w:color="auto" w:sz="4" w:space="0"/>
              <w:left w:val="single" w:color="auto" w:sz="4" w:space="0"/>
              <w:bottom w:val="single" w:color="auto" w:sz="4" w:space="0"/>
              <w:right w:val="single" w:color="auto" w:sz="4" w:space="0"/>
            </w:tcBorders>
            <w:noWrap w:val="0"/>
            <w:vAlign w:val="center"/>
          </w:tcPr>
          <w:p>
            <w:pPr>
              <w:widowControl/>
              <w:ind w:firstLine="0"/>
              <w:rPr>
                <w:rFonts w:hint="eastAsia" w:ascii="仿宋_GB2312" w:hAnsi="仿宋_GB2312" w:eastAsia="仿宋_GB2312" w:cs="仿宋_GB2312"/>
                <w:b w:val="0"/>
                <w:bCs w:val="0"/>
                <w:color w:val="000000"/>
                <w:kern w:val="0"/>
                <w:sz w:val="24"/>
                <w:szCs w:val="24"/>
                <w:lang w:val="en-US" w:eastAsia="zh-CN"/>
              </w:rPr>
            </w:pPr>
            <w:r>
              <w:rPr>
                <w:rFonts w:hint="eastAsia" w:ascii="仿宋_GB2312" w:hAnsi="仿宋_GB2312" w:eastAsia="仿宋_GB2312" w:cs="仿宋_GB2312"/>
                <w:b w:val="0"/>
                <w:bCs w:val="0"/>
                <w:kern w:val="0"/>
                <w:sz w:val="24"/>
                <w:szCs w:val="24"/>
                <w:lang w:val="en-US" w:eastAsia="zh-CN"/>
              </w:rPr>
              <w:t>姚欢庆副</w:t>
            </w:r>
            <w:r>
              <w:rPr>
                <w:rFonts w:hint="eastAsia" w:ascii="仿宋_GB2312" w:hAnsi="仿宋_GB2312" w:eastAsia="仿宋_GB2312" w:cs="仿宋_GB2312"/>
                <w:b w:val="0"/>
                <w:bCs w:val="0"/>
                <w:kern w:val="0"/>
                <w:sz w:val="24"/>
                <w:szCs w:val="24"/>
              </w:rPr>
              <w:t>教授</w:t>
            </w:r>
          </w:p>
        </w:tc>
      </w:tr>
      <w:tr>
        <w:tblPrEx>
          <w:tblCellMar>
            <w:top w:w="0" w:type="dxa"/>
            <w:left w:w="108" w:type="dxa"/>
            <w:bottom w:w="0" w:type="dxa"/>
            <w:right w:w="108" w:type="dxa"/>
          </w:tblCellMar>
        </w:tblPrEx>
        <w:trPr>
          <w:trHeight w:val="1470" w:hRule="atLeast"/>
        </w:trPr>
        <w:tc>
          <w:tcPr>
            <w:tcW w:w="1310"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both"/>
              <w:rPr>
                <w:rFonts w:hint="eastAsia" w:ascii="仿宋_GB2312" w:hAnsi="仿宋_GB2312" w:eastAsia="仿宋_GB2312" w:cs="仿宋_GB2312"/>
                <w:b w:val="0"/>
                <w:bCs w:val="0"/>
                <w:color w:val="000000"/>
                <w:kern w:val="0"/>
                <w:sz w:val="24"/>
                <w:szCs w:val="24"/>
                <w:lang w:val="en-US" w:eastAsia="zh-CN"/>
              </w:rPr>
            </w:pPr>
            <w:r>
              <w:rPr>
                <w:rFonts w:hint="eastAsia" w:ascii="仿宋_GB2312" w:hAnsi="仿宋_GB2312" w:eastAsia="仿宋_GB2312" w:cs="仿宋_GB2312"/>
                <w:b w:val="0"/>
                <w:bCs w:val="0"/>
                <w:color w:val="000000"/>
                <w:kern w:val="0"/>
                <w:sz w:val="24"/>
                <w:szCs w:val="24"/>
                <w:lang w:val="en-US" w:eastAsia="zh-CN"/>
              </w:rPr>
              <w:t>4月13日</w:t>
            </w:r>
          </w:p>
          <w:p>
            <w:pPr>
              <w:widowControl/>
              <w:jc w:val="center"/>
              <w:rPr>
                <w:rFonts w:hint="eastAsia" w:ascii="仿宋_GB2312" w:hAnsi="仿宋_GB2312" w:eastAsia="仿宋_GB2312" w:cs="仿宋_GB2312"/>
                <w:b w:val="0"/>
                <w:bCs w:val="0"/>
                <w:color w:val="000000"/>
                <w:kern w:val="0"/>
                <w:sz w:val="24"/>
                <w:szCs w:val="24"/>
                <w:lang w:val="en-US" w:eastAsia="zh-CN"/>
              </w:rPr>
            </w:pPr>
            <w:r>
              <w:rPr>
                <w:rFonts w:hint="eastAsia" w:ascii="仿宋_GB2312" w:hAnsi="仿宋_GB2312" w:eastAsia="仿宋_GB2312" w:cs="仿宋_GB2312"/>
                <w:b w:val="0"/>
                <w:bCs w:val="0"/>
                <w:color w:val="000000"/>
                <w:kern w:val="0"/>
                <w:sz w:val="24"/>
                <w:szCs w:val="24"/>
                <w:lang w:val="en-US" w:eastAsia="zh-CN"/>
              </w:rPr>
              <w:t>（周六）</w:t>
            </w:r>
          </w:p>
          <w:p>
            <w:pPr>
              <w:widowControl/>
              <w:jc w:val="center"/>
              <w:rPr>
                <w:rFonts w:hint="eastAsia" w:ascii="仿宋_GB2312" w:hAnsi="仿宋_GB2312" w:eastAsia="仿宋_GB2312" w:cs="仿宋_GB2312"/>
                <w:b w:val="0"/>
                <w:bCs w:val="0"/>
                <w:color w:val="000000"/>
                <w:kern w:val="0"/>
                <w:sz w:val="24"/>
                <w:szCs w:val="24"/>
                <w:lang w:val="en-US" w:eastAsia="zh-CN"/>
              </w:rPr>
            </w:pPr>
          </w:p>
          <w:p>
            <w:pPr>
              <w:widowControl/>
              <w:jc w:val="center"/>
              <w:rPr>
                <w:rFonts w:hint="eastAsia" w:ascii="仿宋_GB2312" w:hAnsi="仿宋_GB2312" w:eastAsia="仿宋_GB2312" w:cs="仿宋_GB2312"/>
                <w:b w:val="0"/>
                <w:bCs w:val="0"/>
                <w:color w:val="000000"/>
                <w:kern w:val="0"/>
                <w:sz w:val="24"/>
                <w:szCs w:val="24"/>
                <w:lang w:val="en-US" w:eastAsia="zh-CN"/>
              </w:rPr>
            </w:pPr>
          </w:p>
        </w:tc>
        <w:tc>
          <w:tcPr>
            <w:tcW w:w="181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val="0"/>
                <w:bCs w:val="0"/>
                <w:color w:val="000000"/>
                <w:kern w:val="0"/>
                <w:sz w:val="24"/>
                <w:szCs w:val="24"/>
              </w:rPr>
            </w:pPr>
            <w:r>
              <w:rPr>
                <w:rFonts w:hint="eastAsia" w:ascii="仿宋_GB2312" w:hAnsi="仿宋_GB2312" w:eastAsia="仿宋_GB2312" w:cs="仿宋_GB2312"/>
                <w:b w:val="0"/>
                <w:bCs w:val="0"/>
                <w:color w:val="000000"/>
                <w:kern w:val="0"/>
                <w:sz w:val="24"/>
                <w:szCs w:val="24"/>
              </w:rPr>
              <w:t>9：00-12：00</w:t>
            </w:r>
          </w:p>
        </w:tc>
        <w:tc>
          <w:tcPr>
            <w:tcW w:w="18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b w:val="0"/>
                <w:bCs w:val="0"/>
                <w:kern w:val="2"/>
                <w:sz w:val="24"/>
                <w:szCs w:val="24"/>
                <w:lang w:val="en-US" w:eastAsia="zh-CN" w:bidi="ar-SA"/>
              </w:rPr>
            </w:pPr>
            <w:r>
              <w:rPr>
                <w:rFonts w:hint="eastAsia" w:ascii="仿宋_GB2312" w:hAnsi="仿宋_GB2312" w:eastAsia="仿宋_GB2312" w:cs="仿宋_GB2312"/>
                <w:b w:val="0"/>
                <w:bCs w:val="0"/>
                <w:sz w:val="24"/>
                <w:szCs w:val="24"/>
              </w:rPr>
              <w:t>中美欧数据法律体系比较</w:t>
            </w:r>
          </w:p>
        </w:tc>
        <w:tc>
          <w:tcPr>
            <w:tcW w:w="2475"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b w:val="0"/>
                <w:bCs w:val="0"/>
                <w:kern w:val="2"/>
                <w:sz w:val="24"/>
                <w:szCs w:val="24"/>
                <w:lang w:val="en-US" w:eastAsia="zh-CN" w:bidi="ar-SA"/>
              </w:rPr>
            </w:pPr>
            <w:r>
              <w:rPr>
                <w:rFonts w:hint="eastAsia" w:ascii="仿宋_GB2312" w:hAnsi="仿宋_GB2312" w:eastAsia="仿宋_GB2312" w:cs="仿宋_GB2312"/>
                <w:b w:val="0"/>
                <w:bCs w:val="0"/>
                <w:sz w:val="24"/>
                <w:szCs w:val="24"/>
              </w:rPr>
              <w:t>对</w:t>
            </w:r>
            <w:r>
              <w:rPr>
                <w:rFonts w:hint="eastAsia" w:ascii="仿宋_GB2312" w:hAnsi="仿宋_GB2312" w:eastAsia="仿宋_GB2312" w:cs="仿宋_GB2312"/>
                <w:b w:val="0"/>
                <w:bCs w:val="0"/>
                <w:sz w:val="24"/>
                <w:szCs w:val="24"/>
                <w:lang w:val="en-US" w:eastAsia="zh-CN"/>
              </w:rPr>
              <w:t>中美欧</w:t>
            </w:r>
            <w:r>
              <w:rPr>
                <w:rFonts w:hint="eastAsia" w:ascii="仿宋_GB2312" w:hAnsi="仿宋_GB2312" w:eastAsia="仿宋_GB2312" w:cs="仿宋_GB2312"/>
                <w:b w:val="0"/>
                <w:bCs w:val="0"/>
                <w:sz w:val="24"/>
                <w:szCs w:val="24"/>
              </w:rPr>
              <w:t>在</w:t>
            </w:r>
            <w:r>
              <w:rPr>
                <w:rFonts w:hint="eastAsia" w:ascii="仿宋_GB2312" w:hAnsi="仿宋_GB2312" w:eastAsia="仿宋_GB2312" w:cs="仿宋_GB2312"/>
                <w:b w:val="0"/>
                <w:bCs w:val="0"/>
                <w:sz w:val="24"/>
                <w:szCs w:val="24"/>
                <w:lang w:val="en-US" w:eastAsia="zh-CN"/>
              </w:rPr>
              <w:t>数据方面的立法</w:t>
            </w:r>
            <w:r>
              <w:rPr>
                <w:rFonts w:hint="eastAsia" w:ascii="仿宋_GB2312" w:hAnsi="仿宋_GB2312" w:eastAsia="仿宋_GB2312" w:cs="仿宋_GB2312"/>
                <w:b w:val="0"/>
                <w:bCs w:val="0"/>
                <w:sz w:val="24"/>
                <w:szCs w:val="24"/>
              </w:rPr>
              <w:t>、规制方式、重要规则等进行比较分析</w:t>
            </w:r>
          </w:p>
        </w:tc>
        <w:tc>
          <w:tcPr>
            <w:tcW w:w="1740" w:type="dxa"/>
            <w:tcBorders>
              <w:top w:val="single" w:color="auto" w:sz="4" w:space="0"/>
              <w:left w:val="single" w:color="auto" w:sz="4" w:space="0"/>
              <w:bottom w:val="single" w:color="auto" w:sz="4" w:space="0"/>
              <w:right w:val="single" w:color="auto" w:sz="4" w:space="0"/>
            </w:tcBorders>
            <w:noWrap w:val="0"/>
            <w:vAlign w:val="center"/>
          </w:tcPr>
          <w:p>
            <w:pPr>
              <w:widowControl/>
              <w:ind w:firstLine="240" w:firstLineChars="100"/>
              <w:jc w:val="center"/>
              <w:rPr>
                <w:rFonts w:hint="eastAsia" w:ascii="仿宋_GB2312" w:hAnsi="仿宋_GB2312" w:eastAsia="仿宋_GB2312" w:cs="仿宋_GB2312"/>
                <w:b w:val="0"/>
                <w:bCs w:val="0"/>
                <w:kern w:val="0"/>
                <w:sz w:val="24"/>
                <w:szCs w:val="24"/>
                <w:lang w:val="en-US" w:eastAsia="zh-CN" w:bidi="ar-SA"/>
              </w:rPr>
            </w:pPr>
            <w:r>
              <w:rPr>
                <w:rFonts w:hint="eastAsia" w:ascii="仿宋_GB2312" w:hAnsi="仿宋_GB2312" w:eastAsia="仿宋_GB2312" w:cs="仿宋_GB2312"/>
                <w:b w:val="0"/>
                <w:bCs w:val="0"/>
                <w:kern w:val="0"/>
                <w:sz w:val="24"/>
                <w:szCs w:val="24"/>
              </w:rPr>
              <w:t>丁晓东教授</w:t>
            </w:r>
          </w:p>
        </w:tc>
      </w:tr>
      <w:tr>
        <w:tblPrEx>
          <w:tblCellMar>
            <w:top w:w="0" w:type="dxa"/>
            <w:left w:w="108" w:type="dxa"/>
            <w:bottom w:w="0" w:type="dxa"/>
            <w:right w:w="108" w:type="dxa"/>
          </w:tblCellMar>
        </w:tblPrEx>
        <w:trPr>
          <w:trHeight w:val="1470" w:hRule="atLeast"/>
        </w:trPr>
        <w:tc>
          <w:tcPr>
            <w:tcW w:w="131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rPr>
                <w:rFonts w:hint="eastAsia" w:ascii="仿宋_GB2312" w:hAnsi="仿宋_GB2312" w:eastAsia="仿宋_GB2312" w:cs="仿宋_GB2312"/>
                <w:b w:val="0"/>
                <w:bCs w:val="0"/>
                <w:color w:val="000000"/>
                <w:kern w:val="0"/>
                <w:sz w:val="24"/>
                <w:szCs w:val="24"/>
              </w:rPr>
            </w:pPr>
          </w:p>
        </w:tc>
        <w:tc>
          <w:tcPr>
            <w:tcW w:w="181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val="0"/>
                <w:bCs w:val="0"/>
                <w:color w:val="000000"/>
                <w:kern w:val="0"/>
                <w:sz w:val="24"/>
                <w:szCs w:val="24"/>
              </w:rPr>
            </w:pPr>
            <w:r>
              <w:rPr>
                <w:rFonts w:hint="eastAsia" w:ascii="仿宋_GB2312" w:hAnsi="仿宋_GB2312" w:eastAsia="仿宋_GB2312" w:cs="仿宋_GB2312"/>
                <w:b w:val="0"/>
                <w:bCs w:val="0"/>
                <w:color w:val="000000"/>
                <w:kern w:val="0"/>
                <w:sz w:val="24"/>
                <w:szCs w:val="24"/>
              </w:rPr>
              <w:t>14：30-17：30</w:t>
            </w:r>
          </w:p>
        </w:tc>
        <w:tc>
          <w:tcPr>
            <w:tcW w:w="1830" w:type="dxa"/>
            <w:tcBorders>
              <w:top w:val="single" w:color="auto" w:sz="4" w:space="0"/>
              <w:left w:val="single" w:color="auto" w:sz="4" w:space="0"/>
              <w:bottom w:val="single" w:color="auto" w:sz="4" w:space="0"/>
              <w:right w:val="single" w:color="auto" w:sz="4" w:space="0"/>
            </w:tcBorders>
            <w:noWrap w:val="0"/>
            <w:vAlign w:val="center"/>
          </w:tcPr>
          <w:p>
            <w:pPr>
              <w:widowControl/>
              <w:spacing w:line="276" w:lineRule="auto"/>
              <w:jc w:val="center"/>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sz w:val="24"/>
                <w:szCs w:val="24"/>
              </w:rPr>
              <w:t>美国337调查应对</w:t>
            </w:r>
          </w:p>
        </w:tc>
        <w:tc>
          <w:tcPr>
            <w:tcW w:w="2475" w:type="dxa"/>
            <w:tcBorders>
              <w:top w:val="single" w:color="auto" w:sz="4" w:space="0"/>
              <w:left w:val="single" w:color="auto" w:sz="4" w:space="0"/>
              <w:bottom w:val="single" w:color="auto" w:sz="4" w:space="0"/>
              <w:right w:val="single" w:color="auto" w:sz="4" w:space="0"/>
            </w:tcBorders>
            <w:noWrap w:val="0"/>
            <w:vAlign w:val="center"/>
          </w:tcPr>
          <w:p>
            <w:pPr>
              <w:widowControl/>
              <w:spacing w:line="276" w:lineRule="auto"/>
              <w:jc w:val="left"/>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介绍美国337调查的制度来源、具体做法、典型案例以及中国企业的应对</w:t>
            </w:r>
          </w:p>
        </w:tc>
        <w:tc>
          <w:tcPr>
            <w:tcW w:w="1740" w:type="dxa"/>
            <w:tcBorders>
              <w:top w:val="single" w:color="auto" w:sz="4" w:space="0"/>
              <w:left w:val="single" w:color="auto" w:sz="4" w:space="0"/>
              <w:bottom w:val="single" w:color="auto" w:sz="4" w:space="0"/>
              <w:right w:val="single" w:color="auto" w:sz="4" w:space="0"/>
            </w:tcBorders>
            <w:noWrap w:val="0"/>
            <w:vAlign w:val="center"/>
          </w:tcPr>
          <w:p>
            <w:pPr>
              <w:widowControl/>
              <w:spacing w:line="276" w:lineRule="auto"/>
              <w:jc w:val="center"/>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金海军教授</w:t>
            </w:r>
          </w:p>
        </w:tc>
      </w:tr>
      <w:tr>
        <w:tblPrEx>
          <w:tblCellMar>
            <w:top w:w="0" w:type="dxa"/>
            <w:left w:w="108" w:type="dxa"/>
            <w:bottom w:w="0" w:type="dxa"/>
            <w:right w:w="108" w:type="dxa"/>
          </w:tblCellMar>
        </w:tblPrEx>
        <w:trPr>
          <w:trHeight w:val="1220" w:hRule="atLeast"/>
        </w:trPr>
        <w:tc>
          <w:tcPr>
            <w:tcW w:w="131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val="0"/>
                <w:bCs w:val="0"/>
                <w:color w:val="000000"/>
                <w:kern w:val="0"/>
                <w:sz w:val="24"/>
                <w:szCs w:val="24"/>
              </w:rPr>
            </w:pPr>
          </w:p>
        </w:tc>
        <w:tc>
          <w:tcPr>
            <w:tcW w:w="1815" w:type="dxa"/>
            <w:tcBorders>
              <w:top w:val="single" w:color="auto" w:sz="4" w:space="0"/>
              <w:left w:val="single" w:color="auto" w:sz="4" w:space="0"/>
              <w:bottom w:val="single" w:color="auto" w:sz="4" w:space="0"/>
              <w:right w:val="single" w:color="auto" w:sz="4" w:space="0"/>
            </w:tcBorders>
            <w:noWrap w:val="0"/>
            <w:vAlign w:val="center"/>
          </w:tcPr>
          <w:p>
            <w:pPr>
              <w:widowControl/>
              <w:jc w:val="both"/>
              <w:rPr>
                <w:rFonts w:hint="eastAsia" w:ascii="仿宋_GB2312" w:hAnsi="仿宋_GB2312" w:eastAsia="仿宋_GB2312" w:cs="仿宋_GB2312"/>
                <w:b w:val="0"/>
                <w:bCs w:val="0"/>
                <w:color w:val="000000"/>
                <w:kern w:val="0"/>
                <w:sz w:val="24"/>
                <w:szCs w:val="24"/>
              </w:rPr>
            </w:pPr>
            <w:r>
              <w:rPr>
                <w:rFonts w:hint="eastAsia" w:ascii="仿宋_GB2312" w:hAnsi="仿宋_GB2312" w:eastAsia="仿宋_GB2312" w:cs="仿宋_GB2312"/>
                <w:b w:val="0"/>
                <w:bCs w:val="0"/>
                <w:color w:val="000000"/>
                <w:kern w:val="0"/>
                <w:sz w:val="24"/>
                <w:szCs w:val="24"/>
              </w:rPr>
              <w:t>18：30-21：</w:t>
            </w:r>
            <w:r>
              <w:rPr>
                <w:rFonts w:hint="eastAsia" w:ascii="仿宋_GB2312" w:hAnsi="仿宋_GB2312" w:eastAsia="仿宋_GB2312" w:cs="仿宋_GB2312"/>
                <w:b w:val="0"/>
                <w:bCs w:val="0"/>
                <w:color w:val="000000"/>
                <w:kern w:val="0"/>
                <w:sz w:val="24"/>
                <w:szCs w:val="24"/>
                <w:lang w:val="en-US" w:eastAsia="zh-CN"/>
              </w:rPr>
              <w:t>0</w:t>
            </w:r>
            <w:r>
              <w:rPr>
                <w:rFonts w:hint="eastAsia" w:ascii="仿宋_GB2312" w:hAnsi="仿宋_GB2312" w:eastAsia="仿宋_GB2312" w:cs="仿宋_GB2312"/>
                <w:b w:val="0"/>
                <w:bCs w:val="0"/>
                <w:color w:val="000000"/>
                <w:kern w:val="0"/>
                <w:sz w:val="24"/>
                <w:szCs w:val="24"/>
              </w:rPr>
              <w:t>0</w:t>
            </w:r>
          </w:p>
        </w:tc>
        <w:tc>
          <w:tcPr>
            <w:tcW w:w="183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sz w:val="24"/>
                <w:szCs w:val="24"/>
              </w:rPr>
              <w:t>美国337调查的案例分析与探讨</w:t>
            </w:r>
          </w:p>
        </w:tc>
        <w:tc>
          <w:tcPr>
            <w:tcW w:w="247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val="0"/>
                <w:bCs w:val="0"/>
                <w:kern w:val="0"/>
                <w:sz w:val="24"/>
                <w:szCs w:val="24"/>
                <w:lang w:val="en-US" w:eastAsia="zh-CN" w:bidi="ar-SA"/>
              </w:rPr>
            </w:pPr>
            <w:r>
              <w:rPr>
                <w:rFonts w:hint="eastAsia" w:ascii="仿宋_GB2312" w:hAnsi="仿宋_GB2312" w:eastAsia="仿宋_GB2312" w:cs="仿宋_GB2312"/>
                <w:b w:val="0"/>
                <w:bCs w:val="0"/>
                <w:sz w:val="24"/>
                <w:szCs w:val="24"/>
              </w:rPr>
              <w:t>研讨中国企业应对美国337调查的实际案例，分组讨论</w:t>
            </w:r>
          </w:p>
        </w:tc>
        <w:tc>
          <w:tcPr>
            <w:tcW w:w="174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color w:val="000000"/>
                <w:kern w:val="0"/>
                <w:sz w:val="24"/>
                <w:szCs w:val="24"/>
              </w:rPr>
              <w:t>金海军教授</w:t>
            </w:r>
          </w:p>
        </w:tc>
      </w:tr>
      <w:tr>
        <w:tblPrEx>
          <w:tblCellMar>
            <w:top w:w="0" w:type="dxa"/>
            <w:left w:w="108" w:type="dxa"/>
            <w:bottom w:w="0" w:type="dxa"/>
            <w:right w:w="108" w:type="dxa"/>
          </w:tblCellMar>
        </w:tblPrEx>
        <w:trPr>
          <w:trHeight w:val="3662" w:hRule="atLeast"/>
        </w:trPr>
        <w:tc>
          <w:tcPr>
            <w:tcW w:w="1310"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both"/>
              <w:rPr>
                <w:rFonts w:hint="eastAsia" w:ascii="仿宋_GB2312" w:hAnsi="仿宋_GB2312" w:eastAsia="仿宋_GB2312" w:cs="仿宋_GB2312"/>
                <w:b w:val="0"/>
                <w:bCs w:val="0"/>
                <w:color w:val="000000"/>
                <w:kern w:val="0"/>
                <w:sz w:val="24"/>
                <w:szCs w:val="24"/>
                <w:lang w:val="en-US" w:eastAsia="zh-CN"/>
              </w:rPr>
            </w:pPr>
            <w:r>
              <w:rPr>
                <w:rFonts w:hint="eastAsia" w:ascii="仿宋_GB2312" w:hAnsi="仿宋_GB2312" w:eastAsia="仿宋_GB2312" w:cs="仿宋_GB2312"/>
                <w:b w:val="0"/>
                <w:bCs w:val="0"/>
                <w:color w:val="000000"/>
                <w:kern w:val="0"/>
                <w:sz w:val="24"/>
                <w:szCs w:val="24"/>
                <w:lang w:val="en-US" w:eastAsia="zh-CN"/>
              </w:rPr>
              <w:t>4月14日</w:t>
            </w:r>
          </w:p>
          <w:p>
            <w:pPr>
              <w:widowControl/>
              <w:jc w:val="center"/>
              <w:rPr>
                <w:rFonts w:hint="eastAsia" w:ascii="仿宋_GB2312" w:hAnsi="仿宋_GB2312" w:eastAsia="仿宋_GB2312" w:cs="仿宋_GB2312"/>
                <w:b w:val="0"/>
                <w:bCs w:val="0"/>
                <w:color w:val="000000"/>
                <w:kern w:val="0"/>
                <w:sz w:val="24"/>
                <w:szCs w:val="24"/>
                <w:lang w:val="en-US" w:eastAsia="zh-CN"/>
              </w:rPr>
            </w:pPr>
            <w:r>
              <w:rPr>
                <w:rFonts w:hint="eastAsia" w:ascii="仿宋_GB2312" w:hAnsi="仿宋_GB2312" w:eastAsia="仿宋_GB2312" w:cs="仿宋_GB2312"/>
                <w:b w:val="0"/>
                <w:bCs w:val="0"/>
                <w:color w:val="000000"/>
                <w:kern w:val="0"/>
                <w:sz w:val="24"/>
                <w:szCs w:val="24"/>
                <w:lang w:val="en-US" w:eastAsia="zh-CN"/>
              </w:rPr>
              <w:t>（周日）</w:t>
            </w:r>
          </w:p>
          <w:p>
            <w:pPr>
              <w:widowControl/>
              <w:jc w:val="center"/>
              <w:rPr>
                <w:rFonts w:hint="eastAsia" w:ascii="仿宋_GB2312" w:hAnsi="仿宋_GB2312" w:eastAsia="仿宋_GB2312" w:cs="仿宋_GB2312"/>
                <w:b w:val="0"/>
                <w:bCs w:val="0"/>
                <w:color w:val="000000"/>
                <w:kern w:val="0"/>
                <w:sz w:val="24"/>
                <w:szCs w:val="24"/>
                <w:lang w:val="en-US" w:eastAsia="zh-CN"/>
              </w:rPr>
            </w:pPr>
          </w:p>
        </w:tc>
        <w:tc>
          <w:tcPr>
            <w:tcW w:w="181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val="0"/>
                <w:bCs w:val="0"/>
                <w:color w:val="000000"/>
                <w:kern w:val="0"/>
                <w:sz w:val="24"/>
                <w:szCs w:val="24"/>
              </w:rPr>
            </w:pPr>
            <w:r>
              <w:rPr>
                <w:rFonts w:hint="eastAsia" w:ascii="仿宋_GB2312" w:hAnsi="仿宋_GB2312" w:eastAsia="仿宋_GB2312" w:cs="仿宋_GB2312"/>
                <w:b w:val="0"/>
                <w:bCs w:val="0"/>
                <w:color w:val="000000"/>
                <w:kern w:val="0"/>
                <w:sz w:val="24"/>
                <w:szCs w:val="24"/>
              </w:rPr>
              <w:t>9：00-12：00</w:t>
            </w:r>
          </w:p>
        </w:tc>
        <w:tc>
          <w:tcPr>
            <w:tcW w:w="183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sz w:val="24"/>
                <w:szCs w:val="24"/>
              </w:rPr>
              <w:t>涉外商标抢注预防与维权</w:t>
            </w:r>
          </w:p>
        </w:tc>
        <w:tc>
          <w:tcPr>
            <w:tcW w:w="2475"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结合案例说明涉外商标抢注类型、成因、影响</w:t>
            </w:r>
            <w:r>
              <w:rPr>
                <w:rFonts w:hint="eastAsia" w:ascii="仿宋_GB2312" w:hAnsi="仿宋_GB2312" w:eastAsia="仿宋_GB2312" w:cs="仿宋_GB2312"/>
                <w:b w:val="0"/>
                <w:bCs w:val="0"/>
                <w:color w:val="000000"/>
                <w:kern w:val="0"/>
                <w:sz w:val="24"/>
                <w:szCs w:val="24"/>
                <w:lang w:eastAsia="zh-CN"/>
              </w:rPr>
              <w:t>，</w:t>
            </w:r>
            <w:r>
              <w:rPr>
                <w:rFonts w:hint="eastAsia" w:ascii="仿宋_GB2312" w:hAnsi="仿宋_GB2312" w:eastAsia="仿宋_GB2312" w:cs="仿宋_GB2312"/>
                <w:b w:val="0"/>
                <w:bCs w:val="0"/>
                <w:color w:val="000000"/>
                <w:kern w:val="0"/>
                <w:sz w:val="24"/>
                <w:szCs w:val="24"/>
              </w:rPr>
              <w:t>涉外商标抢注的预防——及时全面注册策略</w:t>
            </w:r>
            <w:r>
              <w:rPr>
                <w:rFonts w:hint="eastAsia" w:ascii="仿宋_GB2312" w:hAnsi="仿宋_GB2312" w:eastAsia="仿宋_GB2312" w:cs="仿宋_GB2312"/>
                <w:b w:val="0"/>
                <w:bCs w:val="0"/>
                <w:color w:val="000000"/>
                <w:kern w:val="0"/>
                <w:sz w:val="24"/>
                <w:szCs w:val="24"/>
                <w:lang w:eastAsia="zh-CN"/>
              </w:rPr>
              <w:t>，</w:t>
            </w:r>
            <w:r>
              <w:rPr>
                <w:rFonts w:hint="eastAsia" w:ascii="仿宋_GB2312" w:hAnsi="仿宋_GB2312" w:eastAsia="仿宋_GB2312" w:cs="仿宋_GB2312"/>
                <w:b w:val="0"/>
                <w:bCs w:val="0"/>
                <w:color w:val="000000"/>
                <w:kern w:val="0"/>
                <w:sz w:val="24"/>
                <w:szCs w:val="24"/>
              </w:rPr>
              <w:t>全球商标检索、风险评估及监控</w:t>
            </w:r>
            <w:r>
              <w:rPr>
                <w:rFonts w:hint="eastAsia" w:ascii="仿宋_GB2312" w:hAnsi="仿宋_GB2312" w:eastAsia="仿宋_GB2312" w:cs="仿宋_GB2312"/>
                <w:b w:val="0"/>
                <w:bCs w:val="0"/>
                <w:color w:val="000000"/>
                <w:kern w:val="0"/>
                <w:sz w:val="24"/>
                <w:szCs w:val="24"/>
                <w:lang w:eastAsia="zh-CN"/>
              </w:rPr>
              <w:t>，</w:t>
            </w:r>
            <w:r>
              <w:rPr>
                <w:rFonts w:hint="eastAsia" w:ascii="仿宋_GB2312" w:hAnsi="仿宋_GB2312" w:eastAsia="仿宋_GB2312" w:cs="仿宋_GB2312"/>
                <w:b w:val="0"/>
                <w:bCs w:val="0"/>
                <w:color w:val="000000"/>
                <w:kern w:val="0"/>
                <w:sz w:val="24"/>
                <w:szCs w:val="24"/>
              </w:rPr>
              <w:t>涉外商标抢注应对措施及策略</w:t>
            </w:r>
            <w:r>
              <w:rPr>
                <w:rFonts w:hint="eastAsia" w:ascii="仿宋_GB2312" w:hAnsi="仿宋_GB2312" w:eastAsia="仿宋_GB2312" w:cs="仿宋_GB2312"/>
                <w:b w:val="0"/>
                <w:bCs w:val="0"/>
                <w:color w:val="000000"/>
                <w:kern w:val="0"/>
                <w:sz w:val="24"/>
                <w:szCs w:val="24"/>
                <w:lang w:eastAsia="zh-CN"/>
              </w:rPr>
              <w:t>，</w:t>
            </w:r>
            <w:r>
              <w:rPr>
                <w:rFonts w:hint="eastAsia" w:ascii="仿宋_GB2312" w:hAnsi="仿宋_GB2312" w:eastAsia="仿宋_GB2312" w:cs="仿宋_GB2312"/>
                <w:b w:val="0"/>
                <w:bCs w:val="0"/>
                <w:color w:val="000000"/>
                <w:kern w:val="0"/>
                <w:sz w:val="24"/>
                <w:szCs w:val="24"/>
              </w:rPr>
              <w:t>制止抢注的同时关注自身权利的维持及商标使用</w:t>
            </w:r>
          </w:p>
        </w:tc>
        <w:tc>
          <w:tcPr>
            <w:tcW w:w="1740" w:type="dxa"/>
            <w:tcBorders>
              <w:top w:val="single" w:color="auto" w:sz="4" w:space="0"/>
              <w:left w:val="single" w:color="auto" w:sz="4" w:space="0"/>
              <w:bottom w:val="single" w:color="auto" w:sz="4" w:space="0"/>
              <w:right w:val="single" w:color="auto" w:sz="4" w:space="0"/>
            </w:tcBorders>
            <w:noWrap w:val="0"/>
            <w:vAlign w:val="center"/>
          </w:tcPr>
          <w:p>
            <w:pPr>
              <w:pStyle w:val="4"/>
              <w:rPr>
                <w:rFonts w:hint="eastAsia" w:ascii="仿宋_GB2312" w:hAnsi="仿宋_GB2312" w:eastAsia="仿宋_GB2312" w:cs="仿宋_GB2312"/>
                <w:b w:val="0"/>
                <w:bCs w:val="0"/>
                <w:kern w:val="0"/>
                <w:sz w:val="24"/>
                <w:szCs w:val="24"/>
                <w:lang w:val="en-US" w:eastAsia="zh-CN" w:bidi="ar-SA"/>
              </w:rPr>
            </w:pPr>
            <w:r>
              <w:rPr>
                <w:rFonts w:hint="eastAsia" w:ascii="仿宋_GB2312" w:hAnsi="仿宋_GB2312" w:eastAsia="仿宋_GB2312" w:cs="仿宋_GB2312"/>
                <w:b w:val="0"/>
                <w:bCs w:val="0"/>
                <w:sz w:val="24"/>
                <w:szCs w:val="24"/>
              </w:rPr>
              <w:t>李 斌</w:t>
            </w:r>
            <w:r>
              <w:rPr>
                <w:rFonts w:hint="eastAsia" w:ascii="仿宋_GB2312" w:hAnsi="仿宋_GB2312" w:eastAsia="仿宋_GB2312" w:cs="仿宋_GB2312"/>
                <w:b w:val="0"/>
                <w:bCs w:val="0"/>
                <w:color w:val="000000"/>
                <w:sz w:val="24"/>
                <w:szCs w:val="24"/>
              </w:rPr>
              <w:t>（万慧达律师事务所合伙人、资深商标代理人）</w:t>
            </w:r>
          </w:p>
        </w:tc>
      </w:tr>
      <w:tr>
        <w:tblPrEx>
          <w:tblCellMar>
            <w:top w:w="0" w:type="dxa"/>
            <w:left w:w="108" w:type="dxa"/>
            <w:bottom w:w="0" w:type="dxa"/>
            <w:right w:w="108" w:type="dxa"/>
          </w:tblCellMar>
        </w:tblPrEx>
        <w:trPr>
          <w:trHeight w:val="1730" w:hRule="atLeast"/>
        </w:trPr>
        <w:tc>
          <w:tcPr>
            <w:tcW w:w="131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val="0"/>
                <w:bCs w:val="0"/>
                <w:color w:val="000000"/>
                <w:kern w:val="0"/>
                <w:sz w:val="24"/>
                <w:szCs w:val="24"/>
              </w:rPr>
            </w:pPr>
          </w:p>
        </w:tc>
        <w:tc>
          <w:tcPr>
            <w:tcW w:w="181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val="0"/>
                <w:bCs w:val="0"/>
                <w:color w:val="000000"/>
                <w:kern w:val="0"/>
                <w:sz w:val="24"/>
                <w:szCs w:val="24"/>
              </w:rPr>
            </w:pPr>
            <w:r>
              <w:rPr>
                <w:rFonts w:hint="eastAsia" w:ascii="仿宋_GB2312" w:hAnsi="仿宋_GB2312" w:eastAsia="仿宋_GB2312" w:cs="仿宋_GB2312"/>
                <w:b w:val="0"/>
                <w:bCs w:val="0"/>
                <w:color w:val="000000"/>
                <w:kern w:val="0"/>
                <w:sz w:val="24"/>
                <w:szCs w:val="24"/>
              </w:rPr>
              <w:t>14：30-17：30</w:t>
            </w:r>
          </w:p>
        </w:tc>
        <w:tc>
          <w:tcPr>
            <w:tcW w:w="183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sz w:val="24"/>
                <w:szCs w:val="24"/>
              </w:rPr>
              <w:t xml:space="preserve"> 海外专利申请与商标注册程序</w:t>
            </w:r>
          </w:p>
        </w:tc>
        <w:tc>
          <w:tcPr>
            <w:tcW w:w="2475"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从自己从事的实务经验出发，详细讲解在海外进行专利申请、商标注册的相关程序和法律实务</w:t>
            </w:r>
          </w:p>
        </w:tc>
        <w:tc>
          <w:tcPr>
            <w:tcW w:w="174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吴 立律师</w:t>
            </w:r>
          </w:p>
          <w:p>
            <w:pPr>
              <w:widowControl/>
              <w:jc w:val="center"/>
              <w:rPr>
                <w:rFonts w:hint="eastAsia" w:ascii="仿宋_GB2312" w:hAnsi="仿宋_GB2312" w:eastAsia="仿宋_GB2312" w:cs="仿宋_GB2312"/>
                <w:b w:val="0"/>
                <w:bCs w:val="0"/>
                <w:kern w:val="0"/>
                <w:sz w:val="24"/>
                <w:szCs w:val="24"/>
                <w:lang w:val="en-US" w:eastAsia="zh-CN" w:bidi="ar-SA"/>
              </w:rPr>
            </w:pPr>
            <w:r>
              <w:rPr>
                <w:rFonts w:hint="eastAsia" w:ascii="仿宋_GB2312" w:hAnsi="仿宋_GB2312" w:eastAsia="仿宋_GB2312" w:cs="仿宋_GB2312"/>
                <w:b w:val="0"/>
                <w:bCs w:val="0"/>
                <w:sz w:val="24"/>
                <w:szCs w:val="24"/>
              </w:rPr>
              <w:t>（北京市立方律师事务所高级合伙人）</w:t>
            </w:r>
          </w:p>
        </w:tc>
      </w:tr>
      <w:tr>
        <w:tblPrEx>
          <w:tblCellMar>
            <w:top w:w="0" w:type="dxa"/>
            <w:left w:w="108" w:type="dxa"/>
            <w:bottom w:w="0" w:type="dxa"/>
            <w:right w:w="108" w:type="dxa"/>
          </w:tblCellMar>
        </w:tblPrEx>
        <w:trPr>
          <w:trHeight w:val="1651" w:hRule="atLeast"/>
        </w:trPr>
        <w:tc>
          <w:tcPr>
            <w:tcW w:w="131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val="0"/>
                <w:bCs w:val="0"/>
                <w:color w:val="000000"/>
                <w:kern w:val="0"/>
                <w:sz w:val="24"/>
                <w:szCs w:val="24"/>
              </w:rPr>
            </w:pPr>
          </w:p>
        </w:tc>
        <w:tc>
          <w:tcPr>
            <w:tcW w:w="1815" w:type="dxa"/>
            <w:tcBorders>
              <w:top w:val="single" w:color="auto" w:sz="4" w:space="0"/>
              <w:left w:val="single" w:color="auto" w:sz="4" w:space="0"/>
              <w:bottom w:val="single" w:color="auto" w:sz="4" w:space="0"/>
              <w:right w:val="single" w:color="auto" w:sz="4" w:space="0"/>
            </w:tcBorders>
            <w:noWrap w:val="0"/>
            <w:vAlign w:val="center"/>
          </w:tcPr>
          <w:p>
            <w:pPr>
              <w:widowControl/>
              <w:jc w:val="both"/>
              <w:rPr>
                <w:rFonts w:hint="eastAsia" w:ascii="仿宋_GB2312" w:hAnsi="仿宋_GB2312" w:eastAsia="仿宋_GB2312" w:cs="仿宋_GB2312"/>
                <w:b w:val="0"/>
                <w:bCs w:val="0"/>
                <w:color w:val="000000"/>
                <w:kern w:val="0"/>
                <w:sz w:val="24"/>
                <w:szCs w:val="24"/>
              </w:rPr>
            </w:pPr>
            <w:r>
              <w:rPr>
                <w:rFonts w:hint="eastAsia" w:ascii="仿宋_GB2312" w:hAnsi="仿宋_GB2312" w:eastAsia="仿宋_GB2312" w:cs="仿宋_GB2312"/>
                <w:b w:val="0"/>
                <w:bCs w:val="0"/>
                <w:color w:val="000000"/>
                <w:kern w:val="0"/>
                <w:sz w:val="24"/>
                <w:szCs w:val="24"/>
              </w:rPr>
              <w:t>18：30-21：</w:t>
            </w:r>
            <w:r>
              <w:rPr>
                <w:rFonts w:hint="eastAsia" w:ascii="仿宋_GB2312" w:hAnsi="仿宋_GB2312" w:eastAsia="仿宋_GB2312" w:cs="仿宋_GB2312"/>
                <w:b w:val="0"/>
                <w:bCs w:val="0"/>
                <w:color w:val="000000"/>
                <w:kern w:val="0"/>
                <w:sz w:val="24"/>
                <w:szCs w:val="24"/>
                <w:lang w:val="en-US" w:eastAsia="zh-CN"/>
              </w:rPr>
              <w:t>0</w:t>
            </w:r>
            <w:r>
              <w:rPr>
                <w:rFonts w:hint="eastAsia" w:ascii="仿宋_GB2312" w:hAnsi="仿宋_GB2312" w:eastAsia="仿宋_GB2312" w:cs="仿宋_GB2312"/>
                <w:b w:val="0"/>
                <w:bCs w:val="0"/>
                <w:color w:val="000000"/>
                <w:kern w:val="0"/>
                <w:sz w:val="24"/>
                <w:szCs w:val="24"/>
              </w:rPr>
              <w:t>0</w:t>
            </w:r>
          </w:p>
        </w:tc>
        <w:tc>
          <w:tcPr>
            <w:tcW w:w="18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b w:val="0"/>
                <w:bCs w:val="0"/>
                <w:kern w:val="2"/>
                <w:sz w:val="24"/>
                <w:szCs w:val="24"/>
                <w:lang w:val="en-US" w:eastAsia="zh-CN" w:bidi="ar-SA"/>
              </w:rPr>
            </w:pPr>
            <w:r>
              <w:rPr>
                <w:rFonts w:hint="eastAsia" w:ascii="仿宋_GB2312" w:hAnsi="仿宋_GB2312" w:eastAsia="仿宋_GB2312" w:cs="仿宋_GB2312"/>
                <w:b w:val="0"/>
                <w:bCs w:val="0"/>
                <w:sz w:val="24"/>
                <w:szCs w:val="24"/>
              </w:rPr>
              <w:t>域外专利典型案例研讨分析</w:t>
            </w:r>
          </w:p>
        </w:tc>
        <w:tc>
          <w:tcPr>
            <w:tcW w:w="2475"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b w:val="0"/>
                <w:bCs w:val="0"/>
                <w:kern w:val="0"/>
                <w:sz w:val="24"/>
                <w:szCs w:val="24"/>
                <w:lang w:val="en-US" w:eastAsia="zh-CN"/>
              </w:rPr>
            </w:pPr>
            <w:r>
              <w:rPr>
                <w:rFonts w:hint="eastAsia" w:ascii="仿宋_GB2312" w:hAnsi="仿宋_GB2312" w:eastAsia="仿宋_GB2312" w:cs="仿宋_GB2312"/>
                <w:b w:val="0"/>
                <w:bCs w:val="0"/>
                <w:sz w:val="24"/>
                <w:szCs w:val="24"/>
              </w:rPr>
              <w:t>对一个域外专利典型案例开展分组讨论</w:t>
            </w:r>
          </w:p>
        </w:tc>
        <w:tc>
          <w:tcPr>
            <w:tcW w:w="174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吴 立律师</w:t>
            </w:r>
          </w:p>
          <w:p>
            <w:pPr>
              <w:jc w:val="left"/>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（北京市立方律师事务所高级合伙人）</w:t>
            </w:r>
          </w:p>
        </w:tc>
      </w:tr>
      <w:tr>
        <w:tblPrEx>
          <w:tblCellMar>
            <w:top w:w="0" w:type="dxa"/>
            <w:left w:w="108" w:type="dxa"/>
            <w:bottom w:w="0" w:type="dxa"/>
            <w:right w:w="108" w:type="dxa"/>
          </w:tblCellMar>
        </w:tblPrEx>
        <w:trPr>
          <w:trHeight w:val="1643" w:hRule="atLeast"/>
        </w:trPr>
        <w:tc>
          <w:tcPr>
            <w:tcW w:w="1310"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both"/>
              <w:rPr>
                <w:rFonts w:hint="eastAsia" w:ascii="仿宋_GB2312" w:hAnsi="仿宋_GB2312" w:eastAsia="仿宋_GB2312" w:cs="仿宋_GB2312"/>
                <w:b w:val="0"/>
                <w:bCs w:val="0"/>
                <w:color w:val="000000"/>
                <w:kern w:val="0"/>
                <w:sz w:val="24"/>
                <w:szCs w:val="24"/>
                <w:lang w:val="en-US" w:eastAsia="zh-CN"/>
              </w:rPr>
            </w:pPr>
            <w:r>
              <w:rPr>
                <w:rFonts w:hint="eastAsia" w:ascii="仿宋_GB2312" w:hAnsi="仿宋_GB2312" w:eastAsia="仿宋_GB2312" w:cs="仿宋_GB2312"/>
                <w:b w:val="0"/>
                <w:bCs w:val="0"/>
                <w:color w:val="000000"/>
                <w:kern w:val="0"/>
                <w:sz w:val="24"/>
                <w:szCs w:val="24"/>
                <w:lang w:val="en-US" w:eastAsia="zh-CN"/>
              </w:rPr>
              <w:t>4月15日</w:t>
            </w:r>
          </w:p>
          <w:p>
            <w:pPr>
              <w:widowControl/>
              <w:jc w:val="center"/>
              <w:rPr>
                <w:rFonts w:hint="eastAsia" w:ascii="仿宋_GB2312" w:hAnsi="仿宋_GB2312" w:eastAsia="仿宋_GB2312" w:cs="仿宋_GB2312"/>
                <w:b w:val="0"/>
                <w:bCs w:val="0"/>
                <w:color w:val="000000"/>
                <w:kern w:val="0"/>
                <w:sz w:val="24"/>
                <w:szCs w:val="24"/>
                <w:lang w:val="en-US" w:eastAsia="zh-CN"/>
              </w:rPr>
            </w:pPr>
            <w:r>
              <w:rPr>
                <w:rFonts w:hint="eastAsia" w:ascii="仿宋_GB2312" w:hAnsi="仿宋_GB2312" w:eastAsia="仿宋_GB2312" w:cs="仿宋_GB2312"/>
                <w:b w:val="0"/>
                <w:bCs w:val="0"/>
                <w:color w:val="000000"/>
                <w:kern w:val="0"/>
                <w:sz w:val="24"/>
                <w:szCs w:val="24"/>
                <w:lang w:val="en-US" w:eastAsia="zh-CN"/>
              </w:rPr>
              <w:t>（周一）</w:t>
            </w:r>
          </w:p>
          <w:p>
            <w:pPr>
              <w:widowControl/>
              <w:jc w:val="center"/>
              <w:rPr>
                <w:rFonts w:hint="eastAsia" w:ascii="仿宋_GB2312" w:hAnsi="仿宋_GB2312" w:eastAsia="仿宋_GB2312" w:cs="仿宋_GB2312"/>
                <w:b w:val="0"/>
                <w:bCs w:val="0"/>
                <w:color w:val="000000"/>
                <w:kern w:val="0"/>
                <w:sz w:val="24"/>
                <w:szCs w:val="24"/>
                <w:lang w:val="en-US" w:eastAsia="zh-CN"/>
              </w:rPr>
            </w:pPr>
          </w:p>
        </w:tc>
        <w:tc>
          <w:tcPr>
            <w:tcW w:w="181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val="0"/>
                <w:bCs w:val="0"/>
                <w:color w:val="000000"/>
                <w:kern w:val="0"/>
                <w:sz w:val="24"/>
                <w:szCs w:val="24"/>
              </w:rPr>
            </w:pPr>
            <w:r>
              <w:rPr>
                <w:rFonts w:hint="eastAsia" w:ascii="仿宋_GB2312" w:hAnsi="仿宋_GB2312" w:eastAsia="仿宋_GB2312" w:cs="仿宋_GB2312"/>
                <w:b w:val="0"/>
                <w:bCs w:val="0"/>
                <w:color w:val="000000"/>
                <w:kern w:val="0"/>
                <w:sz w:val="24"/>
                <w:szCs w:val="24"/>
              </w:rPr>
              <w:t>9：00-12：00</w:t>
            </w:r>
          </w:p>
        </w:tc>
        <w:tc>
          <w:tcPr>
            <w:tcW w:w="183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美国知识产权诉讼案例与实务</w:t>
            </w:r>
          </w:p>
        </w:tc>
        <w:tc>
          <w:tcPr>
            <w:tcW w:w="2475"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通过实际经验的分享，对美国知识产权诉讼案例的分析，介绍相关实务技巧</w:t>
            </w:r>
          </w:p>
        </w:tc>
        <w:tc>
          <w:tcPr>
            <w:tcW w:w="174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val="0"/>
                <w:bCs w:val="0"/>
                <w:kern w:val="2"/>
                <w:sz w:val="24"/>
                <w:szCs w:val="24"/>
                <w:lang w:val="en-US" w:eastAsia="zh-CN" w:bidi="ar-SA"/>
              </w:rPr>
            </w:pPr>
            <w:r>
              <w:rPr>
                <w:rFonts w:hint="eastAsia" w:ascii="仿宋_GB2312" w:hAnsi="仿宋_GB2312" w:eastAsia="仿宋_GB2312" w:cs="仿宋_GB2312"/>
                <w:b w:val="0"/>
                <w:bCs w:val="0"/>
                <w:sz w:val="24"/>
                <w:szCs w:val="24"/>
              </w:rPr>
              <w:t>吴 立律师（北京市立方律师事务所高级合伙人）</w:t>
            </w:r>
          </w:p>
        </w:tc>
      </w:tr>
      <w:tr>
        <w:tblPrEx>
          <w:tblCellMar>
            <w:top w:w="0" w:type="dxa"/>
            <w:left w:w="108" w:type="dxa"/>
            <w:bottom w:w="0" w:type="dxa"/>
            <w:right w:w="108" w:type="dxa"/>
          </w:tblCellMar>
        </w:tblPrEx>
        <w:trPr>
          <w:trHeight w:val="1233" w:hRule="atLeast"/>
        </w:trPr>
        <w:tc>
          <w:tcPr>
            <w:tcW w:w="131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rPr>
                <w:rFonts w:hint="eastAsia" w:ascii="仿宋_GB2312" w:hAnsi="仿宋_GB2312" w:eastAsia="仿宋_GB2312" w:cs="仿宋_GB2312"/>
                <w:b w:val="0"/>
                <w:bCs w:val="0"/>
                <w:color w:val="000000"/>
                <w:kern w:val="0"/>
                <w:sz w:val="24"/>
                <w:szCs w:val="24"/>
              </w:rPr>
            </w:pPr>
          </w:p>
        </w:tc>
        <w:tc>
          <w:tcPr>
            <w:tcW w:w="181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val="0"/>
                <w:bCs w:val="0"/>
                <w:color w:val="000000"/>
                <w:kern w:val="0"/>
                <w:sz w:val="24"/>
                <w:szCs w:val="24"/>
              </w:rPr>
            </w:pPr>
            <w:r>
              <w:rPr>
                <w:rFonts w:hint="eastAsia" w:ascii="仿宋_GB2312" w:hAnsi="仿宋_GB2312" w:eastAsia="仿宋_GB2312" w:cs="仿宋_GB2312"/>
                <w:b w:val="0"/>
                <w:bCs w:val="0"/>
                <w:color w:val="000000"/>
                <w:kern w:val="0"/>
                <w:sz w:val="24"/>
                <w:szCs w:val="24"/>
              </w:rPr>
              <w:t>14：30-17：30</w:t>
            </w:r>
          </w:p>
        </w:tc>
        <w:tc>
          <w:tcPr>
            <w:tcW w:w="18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lang w:val="en-US" w:eastAsia="zh-CN"/>
              </w:rPr>
              <w:t>涉外商标注册、申请、保护与案例</w:t>
            </w:r>
          </w:p>
        </w:tc>
        <w:tc>
          <w:tcPr>
            <w:tcW w:w="2475"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b w:val="0"/>
                <w:bCs w:val="0"/>
                <w:kern w:val="2"/>
                <w:sz w:val="24"/>
                <w:szCs w:val="24"/>
                <w:lang w:val="en-US" w:eastAsia="zh-CN" w:bidi="ar-SA"/>
              </w:rPr>
            </w:pPr>
            <w:r>
              <w:rPr>
                <w:rFonts w:hint="eastAsia" w:ascii="仿宋_GB2312" w:hAnsi="仿宋_GB2312" w:eastAsia="仿宋_GB2312" w:cs="仿宋_GB2312"/>
                <w:b w:val="0"/>
                <w:bCs w:val="0"/>
                <w:color w:val="000000"/>
                <w:kern w:val="0"/>
                <w:sz w:val="24"/>
                <w:szCs w:val="24"/>
                <w:lang w:val="en-US" w:eastAsia="zh-CN"/>
              </w:rPr>
              <w:t>介绍涉外商标的理论、实务，域外商标申请及保护实务、典型案例</w:t>
            </w:r>
          </w:p>
        </w:tc>
        <w:tc>
          <w:tcPr>
            <w:tcW w:w="174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val="0"/>
                <w:bCs w:val="0"/>
                <w:kern w:val="0"/>
                <w:sz w:val="24"/>
                <w:szCs w:val="24"/>
                <w:lang w:val="en-US" w:eastAsia="zh-CN" w:bidi="ar-SA"/>
              </w:rPr>
            </w:pPr>
            <w:r>
              <w:rPr>
                <w:rFonts w:hint="eastAsia" w:ascii="仿宋_GB2312" w:hAnsi="仿宋_GB2312" w:eastAsia="仿宋_GB2312" w:cs="仿宋_GB2312"/>
                <w:b w:val="0"/>
                <w:bCs w:val="0"/>
                <w:kern w:val="0"/>
                <w:sz w:val="24"/>
                <w:szCs w:val="24"/>
                <w:lang w:val="en-US" w:eastAsia="zh-CN"/>
              </w:rPr>
              <w:t>殷少平副教授</w:t>
            </w:r>
          </w:p>
        </w:tc>
      </w:tr>
      <w:tr>
        <w:tblPrEx>
          <w:tblCellMar>
            <w:top w:w="0" w:type="dxa"/>
            <w:left w:w="108" w:type="dxa"/>
            <w:bottom w:w="0" w:type="dxa"/>
            <w:right w:w="108" w:type="dxa"/>
          </w:tblCellMar>
        </w:tblPrEx>
        <w:trPr>
          <w:trHeight w:val="1233" w:hRule="atLeast"/>
        </w:trPr>
        <w:tc>
          <w:tcPr>
            <w:tcW w:w="131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rPr>
                <w:rFonts w:hint="eastAsia" w:ascii="仿宋_GB2312" w:hAnsi="仿宋_GB2312" w:eastAsia="仿宋_GB2312" w:cs="仿宋_GB2312"/>
                <w:b w:val="0"/>
                <w:bCs w:val="0"/>
                <w:color w:val="000000"/>
                <w:kern w:val="0"/>
                <w:sz w:val="24"/>
                <w:szCs w:val="24"/>
              </w:rPr>
            </w:pPr>
          </w:p>
        </w:tc>
        <w:tc>
          <w:tcPr>
            <w:tcW w:w="181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val="0"/>
                <w:bCs w:val="0"/>
                <w:color w:val="000000"/>
                <w:kern w:val="0"/>
                <w:sz w:val="24"/>
                <w:szCs w:val="24"/>
              </w:rPr>
            </w:pPr>
            <w:r>
              <w:rPr>
                <w:rFonts w:hint="eastAsia" w:ascii="仿宋_GB2312" w:hAnsi="仿宋_GB2312" w:eastAsia="仿宋_GB2312" w:cs="仿宋_GB2312"/>
                <w:b w:val="0"/>
                <w:bCs w:val="0"/>
                <w:color w:val="000000"/>
                <w:kern w:val="0"/>
                <w:sz w:val="24"/>
                <w:szCs w:val="24"/>
              </w:rPr>
              <w:t>18：30-21：</w:t>
            </w:r>
            <w:r>
              <w:rPr>
                <w:rFonts w:hint="eastAsia" w:ascii="仿宋_GB2312" w:hAnsi="仿宋_GB2312" w:eastAsia="仿宋_GB2312" w:cs="仿宋_GB2312"/>
                <w:b w:val="0"/>
                <w:bCs w:val="0"/>
                <w:color w:val="000000"/>
                <w:kern w:val="0"/>
                <w:sz w:val="24"/>
                <w:szCs w:val="24"/>
                <w:lang w:val="en-US" w:eastAsia="zh-CN"/>
              </w:rPr>
              <w:t>0</w:t>
            </w:r>
            <w:r>
              <w:rPr>
                <w:rFonts w:hint="eastAsia" w:ascii="仿宋_GB2312" w:hAnsi="仿宋_GB2312" w:eastAsia="仿宋_GB2312" w:cs="仿宋_GB2312"/>
                <w:b w:val="0"/>
                <w:bCs w:val="0"/>
                <w:color w:val="000000"/>
                <w:kern w:val="0"/>
                <w:sz w:val="24"/>
                <w:szCs w:val="24"/>
              </w:rPr>
              <w:t>0</w:t>
            </w:r>
          </w:p>
        </w:tc>
        <w:tc>
          <w:tcPr>
            <w:tcW w:w="18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b w:val="0"/>
                <w:bCs w:val="0"/>
                <w:kern w:val="2"/>
                <w:sz w:val="24"/>
                <w:szCs w:val="24"/>
                <w:lang w:val="en-US" w:eastAsia="zh-CN" w:bidi="ar-SA"/>
              </w:rPr>
            </w:pPr>
            <w:r>
              <w:rPr>
                <w:rFonts w:hint="eastAsia" w:ascii="仿宋_GB2312" w:hAnsi="仿宋_GB2312" w:eastAsia="仿宋_GB2312" w:cs="仿宋_GB2312"/>
                <w:b w:val="0"/>
                <w:bCs w:val="0"/>
                <w:sz w:val="24"/>
                <w:szCs w:val="24"/>
              </w:rPr>
              <w:t>涉外知识产权案例</w:t>
            </w:r>
            <w:r>
              <w:rPr>
                <w:rFonts w:hint="eastAsia" w:ascii="仿宋_GB2312" w:hAnsi="仿宋_GB2312" w:eastAsia="仿宋_GB2312" w:cs="仿宋_GB2312"/>
                <w:b w:val="0"/>
                <w:bCs w:val="0"/>
                <w:sz w:val="24"/>
                <w:szCs w:val="24"/>
                <w:lang w:val="en-US" w:eastAsia="zh-CN"/>
              </w:rPr>
              <w:t>分组讨论</w:t>
            </w:r>
          </w:p>
        </w:tc>
        <w:tc>
          <w:tcPr>
            <w:tcW w:w="2475" w:type="dxa"/>
            <w:tcBorders>
              <w:top w:val="single" w:color="auto" w:sz="4" w:space="0"/>
              <w:left w:val="single" w:color="auto" w:sz="4" w:space="0"/>
              <w:bottom w:val="single" w:color="auto" w:sz="4" w:space="0"/>
              <w:right w:val="single" w:color="auto" w:sz="4" w:space="0"/>
            </w:tcBorders>
            <w:noWrap w:val="0"/>
            <w:vAlign w:val="center"/>
          </w:tcPr>
          <w:p>
            <w:pPr>
              <w:widowControl/>
              <w:jc w:val="both"/>
              <w:rPr>
                <w:rFonts w:hint="eastAsia" w:ascii="仿宋_GB2312" w:hAnsi="仿宋_GB2312" w:eastAsia="仿宋_GB2312" w:cs="仿宋_GB2312"/>
                <w:b w:val="0"/>
                <w:bCs w:val="0"/>
                <w:kern w:val="0"/>
                <w:sz w:val="24"/>
                <w:szCs w:val="24"/>
                <w:lang w:val="en-US" w:eastAsia="zh-CN" w:bidi="ar-SA"/>
              </w:rPr>
            </w:pPr>
            <w:r>
              <w:rPr>
                <w:rFonts w:hint="eastAsia" w:ascii="仿宋_GB2312" w:hAnsi="仿宋_GB2312" w:eastAsia="仿宋_GB2312" w:cs="仿宋_GB2312"/>
                <w:b w:val="0"/>
                <w:bCs w:val="0"/>
                <w:sz w:val="24"/>
                <w:szCs w:val="24"/>
              </w:rPr>
              <w:t>通过</w:t>
            </w:r>
            <w:r>
              <w:rPr>
                <w:rFonts w:hint="eastAsia" w:ascii="仿宋_GB2312" w:hAnsi="仿宋_GB2312" w:eastAsia="仿宋_GB2312" w:cs="仿宋_GB2312"/>
                <w:b w:val="0"/>
                <w:bCs w:val="0"/>
                <w:sz w:val="24"/>
                <w:szCs w:val="24"/>
                <w:lang w:val="en-US" w:eastAsia="zh-CN"/>
              </w:rPr>
              <w:t>对老师安排的案例进行分组研讨</w:t>
            </w:r>
          </w:p>
        </w:tc>
        <w:tc>
          <w:tcPr>
            <w:tcW w:w="1740" w:type="dxa"/>
            <w:tcBorders>
              <w:top w:val="single" w:color="auto" w:sz="4" w:space="0"/>
              <w:left w:val="single" w:color="auto" w:sz="4" w:space="0"/>
              <w:bottom w:val="single" w:color="auto" w:sz="4" w:space="0"/>
              <w:right w:val="single" w:color="auto" w:sz="4" w:space="0"/>
            </w:tcBorders>
            <w:noWrap w:val="0"/>
            <w:vAlign w:val="center"/>
          </w:tcPr>
          <w:p>
            <w:pPr>
              <w:widowControl/>
              <w:ind w:firstLine="240" w:firstLineChars="100"/>
              <w:jc w:val="center"/>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桂 佳律师</w:t>
            </w:r>
          </w:p>
          <w:p>
            <w:pPr>
              <w:widowControl/>
              <w:jc w:val="both"/>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（北京环球律师事务所</w:t>
            </w:r>
          </w:p>
        </w:tc>
      </w:tr>
      <w:tr>
        <w:tblPrEx>
          <w:tblCellMar>
            <w:top w:w="0" w:type="dxa"/>
            <w:left w:w="108" w:type="dxa"/>
            <w:bottom w:w="0" w:type="dxa"/>
            <w:right w:w="108" w:type="dxa"/>
          </w:tblCellMar>
        </w:tblPrEx>
        <w:trPr>
          <w:trHeight w:val="1538" w:hRule="atLeast"/>
        </w:trPr>
        <w:tc>
          <w:tcPr>
            <w:tcW w:w="1310"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val="0"/>
                <w:bCs w:val="0"/>
                <w:color w:val="000000"/>
                <w:kern w:val="0"/>
                <w:sz w:val="24"/>
                <w:szCs w:val="24"/>
                <w:lang w:val="en-US" w:eastAsia="zh-CN"/>
              </w:rPr>
            </w:pPr>
            <w:r>
              <w:rPr>
                <w:rFonts w:hint="eastAsia" w:ascii="仿宋_GB2312" w:hAnsi="仿宋_GB2312" w:eastAsia="仿宋_GB2312" w:cs="仿宋_GB2312"/>
                <w:b w:val="0"/>
                <w:bCs w:val="0"/>
                <w:color w:val="000000"/>
                <w:kern w:val="0"/>
                <w:sz w:val="24"/>
                <w:szCs w:val="24"/>
                <w:lang w:val="en-US" w:eastAsia="zh-CN"/>
              </w:rPr>
              <w:t>4月16日</w:t>
            </w:r>
          </w:p>
          <w:p>
            <w:pPr>
              <w:widowControl/>
              <w:jc w:val="center"/>
              <w:rPr>
                <w:rFonts w:hint="eastAsia" w:ascii="仿宋_GB2312" w:hAnsi="仿宋_GB2312" w:eastAsia="仿宋_GB2312" w:cs="仿宋_GB2312"/>
                <w:b w:val="0"/>
                <w:bCs w:val="0"/>
                <w:color w:val="000000"/>
                <w:kern w:val="0"/>
                <w:sz w:val="24"/>
                <w:szCs w:val="24"/>
                <w:lang w:val="en-US" w:eastAsia="zh-CN"/>
              </w:rPr>
            </w:pPr>
            <w:r>
              <w:rPr>
                <w:rFonts w:hint="eastAsia" w:ascii="仿宋_GB2312" w:hAnsi="仿宋_GB2312" w:eastAsia="仿宋_GB2312" w:cs="仿宋_GB2312"/>
                <w:b w:val="0"/>
                <w:bCs w:val="0"/>
                <w:color w:val="000000"/>
                <w:kern w:val="0"/>
                <w:sz w:val="24"/>
                <w:szCs w:val="24"/>
                <w:lang w:val="en-US" w:eastAsia="zh-CN"/>
              </w:rPr>
              <w:t>（周二）</w:t>
            </w:r>
          </w:p>
          <w:p>
            <w:pPr>
              <w:widowControl/>
              <w:jc w:val="center"/>
              <w:rPr>
                <w:rFonts w:hint="eastAsia" w:ascii="仿宋_GB2312" w:hAnsi="仿宋_GB2312" w:eastAsia="仿宋_GB2312" w:cs="仿宋_GB2312"/>
                <w:b w:val="0"/>
                <w:bCs w:val="0"/>
                <w:color w:val="000000"/>
                <w:kern w:val="0"/>
                <w:sz w:val="24"/>
                <w:szCs w:val="24"/>
                <w:lang w:val="en-US" w:eastAsia="zh-CN"/>
              </w:rPr>
            </w:pPr>
          </w:p>
        </w:tc>
        <w:tc>
          <w:tcPr>
            <w:tcW w:w="181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val="0"/>
                <w:bCs w:val="0"/>
                <w:color w:val="000000"/>
                <w:kern w:val="0"/>
                <w:sz w:val="24"/>
                <w:szCs w:val="24"/>
              </w:rPr>
            </w:pPr>
            <w:r>
              <w:rPr>
                <w:rFonts w:hint="eastAsia" w:ascii="仿宋_GB2312" w:hAnsi="仿宋_GB2312" w:eastAsia="仿宋_GB2312" w:cs="仿宋_GB2312"/>
                <w:b w:val="0"/>
                <w:bCs w:val="0"/>
                <w:color w:val="000000"/>
                <w:kern w:val="0"/>
                <w:sz w:val="24"/>
                <w:szCs w:val="24"/>
              </w:rPr>
              <w:t>9：00-12：00</w:t>
            </w:r>
          </w:p>
        </w:tc>
        <w:tc>
          <w:tcPr>
            <w:tcW w:w="18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b w:val="0"/>
                <w:bCs w:val="0"/>
                <w:kern w:val="2"/>
                <w:sz w:val="24"/>
                <w:szCs w:val="24"/>
                <w:lang w:val="en-US" w:eastAsia="zh-CN" w:bidi="ar-SA"/>
              </w:rPr>
            </w:pPr>
            <w:r>
              <w:rPr>
                <w:rFonts w:hint="eastAsia" w:ascii="仿宋_GB2312" w:hAnsi="仿宋_GB2312" w:eastAsia="仿宋_GB2312" w:cs="仿宋_GB2312"/>
                <w:b w:val="0"/>
                <w:bCs w:val="0"/>
                <w:sz w:val="24"/>
                <w:szCs w:val="24"/>
              </w:rPr>
              <w:t>涉外知识产权争端解决实务</w:t>
            </w:r>
          </w:p>
        </w:tc>
        <w:tc>
          <w:tcPr>
            <w:tcW w:w="2475"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b w:val="0"/>
                <w:bCs w:val="0"/>
                <w:kern w:val="2"/>
                <w:sz w:val="24"/>
                <w:szCs w:val="24"/>
                <w:lang w:val="en-US" w:eastAsia="zh-CN" w:bidi="ar-SA"/>
              </w:rPr>
            </w:pPr>
            <w:r>
              <w:rPr>
                <w:rFonts w:hint="eastAsia" w:ascii="仿宋_GB2312" w:hAnsi="仿宋_GB2312" w:eastAsia="仿宋_GB2312" w:cs="仿宋_GB2312"/>
                <w:b w:val="0"/>
                <w:bCs w:val="0"/>
                <w:sz w:val="24"/>
                <w:szCs w:val="24"/>
              </w:rPr>
              <w:t>讲解涉外知识产权纠纷的解决途径、常见问题以及纠纷解决过程中的法律实务问题</w:t>
            </w:r>
          </w:p>
        </w:tc>
        <w:tc>
          <w:tcPr>
            <w:tcW w:w="1740" w:type="dxa"/>
            <w:tcBorders>
              <w:top w:val="single" w:color="auto" w:sz="4" w:space="0"/>
              <w:left w:val="single" w:color="auto" w:sz="4" w:space="0"/>
              <w:bottom w:val="single" w:color="auto" w:sz="4" w:space="0"/>
              <w:right w:val="single" w:color="auto" w:sz="4" w:space="0"/>
            </w:tcBorders>
            <w:noWrap w:val="0"/>
            <w:vAlign w:val="center"/>
          </w:tcPr>
          <w:p>
            <w:pPr>
              <w:pStyle w:val="4"/>
              <w:ind w:firstLine="240" w:firstLineChars="100"/>
              <w:jc w:val="center"/>
              <w:rPr>
                <w:rFonts w:hint="eastAsia" w:ascii="仿宋_GB2312" w:hAnsi="仿宋_GB2312" w:eastAsia="仿宋_GB2312" w:cs="仿宋_GB2312"/>
                <w:b w:val="0"/>
                <w:bCs w:val="0"/>
                <w:kern w:val="2"/>
                <w:sz w:val="24"/>
                <w:szCs w:val="24"/>
                <w:lang w:val="en-US" w:eastAsia="zh-CN" w:bidi="ar-SA"/>
              </w:rPr>
            </w:pPr>
            <w:r>
              <w:rPr>
                <w:rFonts w:hint="eastAsia" w:ascii="仿宋_GB2312" w:hAnsi="仿宋_GB2312" w:eastAsia="仿宋_GB2312" w:cs="仿宋_GB2312"/>
                <w:b w:val="0"/>
                <w:bCs w:val="0"/>
                <w:color w:val="000000"/>
                <w:sz w:val="24"/>
                <w:szCs w:val="24"/>
              </w:rPr>
              <w:t>金海军教授</w:t>
            </w:r>
          </w:p>
        </w:tc>
      </w:tr>
      <w:tr>
        <w:tblPrEx>
          <w:tblCellMar>
            <w:top w:w="0" w:type="dxa"/>
            <w:left w:w="108" w:type="dxa"/>
            <w:bottom w:w="0" w:type="dxa"/>
            <w:right w:w="108" w:type="dxa"/>
          </w:tblCellMar>
        </w:tblPrEx>
        <w:trPr>
          <w:trHeight w:val="1233" w:hRule="atLeast"/>
        </w:trPr>
        <w:tc>
          <w:tcPr>
            <w:tcW w:w="131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rPr>
                <w:rFonts w:hint="eastAsia" w:ascii="仿宋_GB2312" w:hAnsi="仿宋_GB2312" w:eastAsia="仿宋_GB2312" w:cs="仿宋_GB2312"/>
                <w:b w:val="0"/>
                <w:bCs w:val="0"/>
                <w:color w:val="000000"/>
                <w:kern w:val="0"/>
                <w:sz w:val="24"/>
                <w:szCs w:val="24"/>
              </w:rPr>
            </w:pPr>
          </w:p>
        </w:tc>
        <w:tc>
          <w:tcPr>
            <w:tcW w:w="181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val="0"/>
                <w:bCs w:val="0"/>
                <w:color w:val="000000"/>
                <w:kern w:val="0"/>
                <w:sz w:val="24"/>
                <w:szCs w:val="24"/>
              </w:rPr>
            </w:pPr>
            <w:r>
              <w:rPr>
                <w:rFonts w:hint="eastAsia" w:ascii="仿宋_GB2312" w:hAnsi="仿宋_GB2312" w:eastAsia="仿宋_GB2312" w:cs="仿宋_GB2312"/>
                <w:b w:val="0"/>
                <w:bCs w:val="0"/>
                <w:color w:val="000000"/>
                <w:kern w:val="0"/>
                <w:sz w:val="24"/>
                <w:szCs w:val="24"/>
              </w:rPr>
              <w:t>1</w:t>
            </w:r>
            <w:r>
              <w:rPr>
                <w:rFonts w:hint="eastAsia" w:ascii="仿宋_GB2312" w:hAnsi="仿宋_GB2312" w:eastAsia="仿宋_GB2312" w:cs="仿宋_GB2312"/>
                <w:b w:val="0"/>
                <w:bCs w:val="0"/>
                <w:color w:val="000000"/>
                <w:kern w:val="0"/>
                <w:sz w:val="24"/>
                <w:szCs w:val="24"/>
                <w:lang w:val="en-US" w:eastAsia="zh-CN"/>
              </w:rPr>
              <w:t>3</w:t>
            </w:r>
            <w:r>
              <w:rPr>
                <w:rFonts w:hint="eastAsia" w:ascii="仿宋_GB2312" w:hAnsi="仿宋_GB2312" w:eastAsia="仿宋_GB2312" w:cs="仿宋_GB2312"/>
                <w:b w:val="0"/>
                <w:bCs w:val="0"/>
                <w:color w:val="000000"/>
                <w:kern w:val="0"/>
                <w:sz w:val="24"/>
                <w:szCs w:val="24"/>
              </w:rPr>
              <w:t>：</w:t>
            </w:r>
            <w:r>
              <w:rPr>
                <w:rFonts w:hint="eastAsia" w:ascii="仿宋_GB2312" w:hAnsi="仿宋_GB2312" w:eastAsia="仿宋_GB2312" w:cs="仿宋_GB2312"/>
                <w:b w:val="0"/>
                <w:bCs w:val="0"/>
                <w:color w:val="000000"/>
                <w:kern w:val="0"/>
                <w:sz w:val="24"/>
                <w:szCs w:val="24"/>
                <w:lang w:val="en-US" w:eastAsia="zh-CN"/>
              </w:rPr>
              <w:t>0</w:t>
            </w:r>
            <w:r>
              <w:rPr>
                <w:rFonts w:hint="eastAsia" w:ascii="仿宋_GB2312" w:hAnsi="仿宋_GB2312" w:eastAsia="仿宋_GB2312" w:cs="仿宋_GB2312"/>
                <w:b w:val="0"/>
                <w:bCs w:val="0"/>
                <w:color w:val="000000"/>
                <w:kern w:val="0"/>
                <w:sz w:val="24"/>
                <w:szCs w:val="24"/>
              </w:rPr>
              <w:t>0-17：</w:t>
            </w:r>
            <w:r>
              <w:rPr>
                <w:rFonts w:hint="eastAsia" w:ascii="仿宋_GB2312" w:hAnsi="仿宋_GB2312" w:eastAsia="仿宋_GB2312" w:cs="仿宋_GB2312"/>
                <w:b w:val="0"/>
                <w:bCs w:val="0"/>
                <w:color w:val="000000"/>
                <w:kern w:val="0"/>
                <w:sz w:val="24"/>
                <w:szCs w:val="24"/>
                <w:lang w:val="en-US" w:eastAsia="zh-CN"/>
              </w:rPr>
              <w:t>0</w:t>
            </w:r>
            <w:r>
              <w:rPr>
                <w:rFonts w:hint="eastAsia" w:ascii="仿宋_GB2312" w:hAnsi="仿宋_GB2312" w:eastAsia="仿宋_GB2312" w:cs="仿宋_GB2312"/>
                <w:b w:val="0"/>
                <w:bCs w:val="0"/>
                <w:color w:val="000000"/>
                <w:kern w:val="0"/>
                <w:sz w:val="24"/>
                <w:szCs w:val="24"/>
              </w:rPr>
              <w:t>0</w:t>
            </w:r>
          </w:p>
        </w:tc>
        <w:tc>
          <w:tcPr>
            <w:tcW w:w="6045"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val="0"/>
                <w:bCs w:val="0"/>
                <w:color w:val="000000"/>
                <w:kern w:val="0"/>
                <w:sz w:val="24"/>
                <w:szCs w:val="24"/>
              </w:rPr>
            </w:pPr>
            <w:r>
              <w:rPr>
                <w:rFonts w:hint="eastAsia" w:ascii="仿宋_GB2312" w:hAnsi="仿宋_GB2312" w:eastAsia="仿宋_GB2312" w:cs="仿宋_GB2312"/>
                <w:b w:val="0"/>
                <w:bCs w:val="0"/>
                <w:color w:val="000000"/>
                <w:kern w:val="0"/>
                <w:sz w:val="24"/>
                <w:szCs w:val="24"/>
                <w:lang w:val="en-US" w:eastAsia="zh-CN"/>
              </w:rPr>
              <w:t>北京仲裁委员会参访交流</w:t>
            </w:r>
            <w:r>
              <w:rPr>
                <w:rFonts w:hint="eastAsia" w:ascii="仿宋_GB2312" w:hAnsi="仿宋_GB2312" w:eastAsia="仿宋_GB2312" w:cs="仿宋_GB2312"/>
                <w:b w:val="0"/>
                <w:bCs w:val="0"/>
                <w:color w:val="000000"/>
                <w:kern w:val="0"/>
                <w:sz w:val="24"/>
                <w:szCs w:val="24"/>
              </w:rPr>
              <w:t xml:space="preserve"> </w:t>
            </w:r>
          </w:p>
        </w:tc>
      </w:tr>
      <w:tr>
        <w:tblPrEx>
          <w:tblCellMar>
            <w:top w:w="0" w:type="dxa"/>
            <w:left w:w="108" w:type="dxa"/>
            <w:bottom w:w="0" w:type="dxa"/>
            <w:right w:w="108" w:type="dxa"/>
          </w:tblCellMar>
        </w:tblPrEx>
        <w:trPr>
          <w:trHeight w:val="1233" w:hRule="atLeast"/>
        </w:trPr>
        <w:tc>
          <w:tcPr>
            <w:tcW w:w="131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rPr>
                <w:rFonts w:hint="eastAsia" w:ascii="仿宋_GB2312" w:hAnsi="仿宋_GB2312" w:eastAsia="仿宋_GB2312" w:cs="仿宋_GB2312"/>
                <w:b w:val="0"/>
                <w:bCs w:val="0"/>
                <w:color w:val="000000"/>
                <w:kern w:val="0"/>
                <w:sz w:val="24"/>
                <w:szCs w:val="24"/>
              </w:rPr>
            </w:pPr>
          </w:p>
        </w:tc>
        <w:tc>
          <w:tcPr>
            <w:tcW w:w="181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val="0"/>
                <w:bCs w:val="0"/>
                <w:color w:val="000000"/>
                <w:kern w:val="0"/>
                <w:sz w:val="24"/>
                <w:szCs w:val="24"/>
              </w:rPr>
            </w:pPr>
            <w:r>
              <w:rPr>
                <w:rFonts w:hint="eastAsia" w:ascii="仿宋_GB2312" w:hAnsi="仿宋_GB2312" w:eastAsia="仿宋_GB2312" w:cs="仿宋_GB2312"/>
                <w:b w:val="0"/>
                <w:bCs w:val="0"/>
                <w:color w:val="000000"/>
                <w:kern w:val="0"/>
                <w:sz w:val="24"/>
                <w:szCs w:val="24"/>
              </w:rPr>
              <w:t>18：30-21：</w:t>
            </w:r>
            <w:r>
              <w:rPr>
                <w:rFonts w:hint="eastAsia" w:ascii="仿宋_GB2312" w:hAnsi="仿宋_GB2312" w:eastAsia="仿宋_GB2312" w:cs="仿宋_GB2312"/>
                <w:b w:val="0"/>
                <w:bCs w:val="0"/>
                <w:color w:val="000000"/>
                <w:kern w:val="0"/>
                <w:sz w:val="24"/>
                <w:szCs w:val="24"/>
                <w:lang w:val="en-US" w:eastAsia="zh-CN"/>
              </w:rPr>
              <w:t>0</w:t>
            </w:r>
            <w:r>
              <w:rPr>
                <w:rFonts w:hint="eastAsia" w:ascii="仿宋_GB2312" w:hAnsi="仿宋_GB2312" w:eastAsia="仿宋_GB2312" w:cs="仿宋_GB2312"/>
                <w:b w:val="0"/>
                <w:bCs w:val="0"/>
                <w:color w:val="000000"/>
                <w:kern w:val="0"/>
                <w:sz w:val="24"/>
                <w:szCs w:val="24"/>
              </w:rPr>
              <w:t>0</w:t>
            </w:r>
          </w:p>
        </w:tc>
        <w:tc>
          <w:tcPr>
            <w:tcW w:w="4305" w:type="dxa"/>
            <w:gridSpan w:val="2"/>
            <w:tcBorders>
              <w:top w:val="single" w:color="auto" w:sz="4" w:space="0"/>
              <w:left w:val="single" w:color="auto" w:sz="4" w:space="0"/>
              <w:bottom w:val="single" w:color="auto" w:sz="4" w:space="0"/>
              <w:right w:val="single" w:color="auto" w:sz="4" w:space="0"/>
            </w:tcBorders>
            <w:noWrap w:val="0"/>
            <w:vAlign w:val="center"/>
          </w:tcPr>
          <w:p>
            <w:pPr>
              <w:widowControl/>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lang w:val="en-US" w:eastAsia="zh-CN"/>
              </w:rPr>
              <w:t>就上午课程案例以及下午参访进行分组研讨、分享心得</w:t>
            </w:r>
          </w:p>
        </w:tc>
        <w:tc>
          <w:tcPr>
            <w:tcW w:w="1740" w:type="dxa"/>
            <w:tcBorders>
              <w:top w:val="single" w:color="auto" w:sz="4" w:space="0"/>
              <w:left w:val="single" w:color="auto" w:sz="4" w:space="0"/>
              <w:bottom w:val="single" w:color="auto" w:sz="4" w:space="0"/>
              <w:right w:val="single" w:color="auto" w:sz="4" w:space="0"/>
            </w:tcBorders>
            <w:noWrap w:val="0"/>
            <w:vAlign w:val="center"/>
          </w:tcPr>
          <w:p>
            <w:pPr>
              <w:widowControl/>
              <w:ind w:firstLine="240" w:firstLineChars="100"/>
              <w:rPr>
                <w:rFonts w:hint="eastAsia" w:ascii="仿宋_GB2312" w:hAnsi="仿宋_GB2312" w:eastAsia="仿宋_GB2312" w:cs="仿宋_GB2312"/>
                <w:b w:val="0"/>
                <w:bCs w:val="0"/>
                <w:color w:val="000000"/>
                <w:kern w:val="0"/>
                <w:sz w:val="24"/>
                <w:szCs w:val="24"/>
                <w:lang w:val="en-US" w:eastAsia="zh-CN"/>
              </w:rPr>
            </w:pPr>
            <w:r>
              <w:rPr>
                <w:rFonts w:hint="eastAsia" w:ascii="仿宋_GB2312" w:hAnsi="仿宋_GB2312" w:eastAsia="仿宋_GB2312" w:cs="仿宋_GB2312"/>
                <w:b w:val="0"/>
                <w:bCs w:val="0"/>
                <w:color w:val="000000"/>
                <w:sz w:val="24"/>
                <w:szCs w:val="24"/>
              </w:rPr>
              <w:t>金海军教授</w:t>
            </w:r>
          </w:p>
        </w:tc>
      </w:tr>
      <w:tr>
        <w:tblPrEx>
          <w:tblCellMar>
            <w:top w:w="0" w:type="dxa"/>
            <w:left w:w="108" w:type="dxa"/>
            <w:bottom w:w="0" w:type="dxa"/>
            <w:right w:w="108" w:type="dxa"/>
          </w:tblCellMar>
        </w:tblPrEx>
        <w:trPr>
          <w:trHeight w:val="1233" w:hRule="atLeast"/>
        </w:trPr>
        <w:tc>
          <w:tcPr>
            <w:tcW w:w="1310" w:type="dxa"/>
            <w:vMerge w:val="restart"/>
            <w:tcBorders>
              <w:top w:val="single" w:color="auto" w:sz="4" w:space="0"/>
              <w:left w:val="single" w:color="auto" w:sz="4" w:space="0"/>
              <w:bottom w:val="single" w:color="auto" w:sz="4" w:space="0"/>
              <w:right w:val="single" w:color="auto" w:sz="4" w:space="0"/>
            </w:tcBorders>
            <w:noWrap w:val="0"/>
            <w:vAlign w:val="center"/>
          </w:tcPr>
          <w:p>
            <w:pPr>
              <w:pStyle w:val="4"/>
              <w:jc w:val="center"/>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4月17日</w:t>
            </w:r>
          </w:p>
          <w:p>
            <w:pPr>
              <w:pStyle w:val="5"/>
              <w:ind w:left="0" w:leftChars="0" w:firstLine="0" w:firstLineChars="0"/>
              <w:jc w:val="center"/>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（周三）</w:t>
            </w:r>
          </w:p>
          <w:p>
            <w:pPr>
              <w:widowControl/>
              <w:jc w:val="center"/>
              <w:rPr>
                <w:rFonts w:hint="eastAsia" w:ascii="仿宋_GB2312" w:hAnsi="仿宋_GB2312" w:eastAsia="仿宋_GB2312" w:cs="仿宋_GB2312"/>
                <w:b w:val="0"/>
                <w:bCs w:val="0"/>
                <w:color w:val="000000"/>
                <w:kern w:val="0"/>
                <w:sz w:val="24"/>
                <w:szCs w:val="24"/>
                <w:lang w:val="en-US" w:eastAsia="zh-CN"/>
              </w:rPr>
            </w:pPr>
          </w:p>
        </w:tc>
        <w:tc>
          <w:tcPr>
            <w:tcW w:w="181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val="0"/>
                <w:bCs w:val="0"/>
                <w:color w:val="000000"/>
                <w:kern w:val="0"/>
                <w:sz w:val="24"/>
                <w:szCs w:val="24"/>
              </w:rPr>
            </w:pPr>
            <w:r>
              <w:rPr>
                <w:rFonts w:hint="eastAsia" w:ascii="仿宋_GB2312" w:hAnsi="仿宋_GB2312" w:eastAsia="仿宋_GB2312" w:cs="仿宋_GB2312"/>
                <w:b w:val="0"/>
                <w:bCs w:val="0"/>
                <w:color w:val="000000"/>
                <w:kern w:val="0"/>
                <w:sz w:val="24"/>
                <w:szCs w:val="24"/>
              </w:rPr>
              <w:t>9：00-12：00</w:t>
            </w:r>
          </w:p>
        </w:tc>
        <w:tc>
          <w:tcPr>
            <w:tcW w:w="1830" w:type="dxa"/>
            <w:tcBorders>
              <w:top w:val="single" w:color="auto" w:sz="4" w:space="0"/>
              <w:left w:val="single" w:color="auto" w:sz="4" w:space="0"/>
              <w:bottom w:val="single" w:color="auto" w:sz="4" w:space="0"/>
              <w:right w:val="single" w:color="auto" w:sz="4" w:space="0"/>
            </w:tcBorders>
            <w:noWrap w:val="0"/>
            <w:vAlign w:val="center"/>
          </w:tcPr>
          <w:p>
            <w:pPr>
              <w:widowControl/>
              <w:spacing w:line="276" w:lineRule="auto"/>
              <w:jc w:val="center"/>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lang w:val="en-US" w:eastAsia="zh-CN" w:bidi="ar-SA"/>
              </w:rPr>
              <w:t>规范目的解读与著作权实务</w:t>
            </w:r>
          </w:p>
        </w:tc>
        <w:tc>
          <w:tcPr>
            <w:tcW w:w="2475" w:type="dxa"/>
            <w:tcBorders>
              <w:top w:val="single" w:color="auto" w:sz="4" w:space="0"/>
              <w:left w:val="single" w:color="auto" w:sz="4" w:space="0"/>
              <w:bottom w:val="single" w:color="auto" w:sz="4" w:space="0"/>
              <w:right w:val="single" w:color="auto" w:sz="4" w:space="0"/>
            </w:tcBorders>
            <w:noWrap w:val="0"/>
            <w:vAlign w:val="center"/>
          </w:tcPr>
          <w:p>
            <w:pPr>
              <w:widowControl/>
              <w:spacing w:line="276" w:lineRule="auto"/>
              <w:jc w:val="center"/>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lang w:val="en-US" w:eastAsia="zh-CN" w:bidi="ar-SA"/>
              </w:rPr>
              <w:t>从著作权的规范目的出发，解读相关法律规则背后的法律原理，并结合原理讲授著作权法实务</w:t>
            </w:r>
          </w:p>
        </w:tc>
        <w:tc>
          <w:tcPr>
            <w:tcW w:w="1740" w:type="dxa"/>
            <w:tcBorders>
              <w:top w:val="single" w:color="auto" w:sz="4" w:space="0"/>
              <w:left w:val="single" w:color="auto" w:sz="4" w:space="0"/>
              <w:bottom w:val="single" w:color="auto" w:sz="4" w:space="0"/>
              <w:right w:val="single" w:color="auto" w:sz="4" w:space="0"/>
            </w:tcBorders>
            <w:noWrap w:val="0"/>
            <w:vAlign w:val="center"/>
          </w:tcPr>
          <w:p>
            <w:pPr>
              <w:widowControl/>
              <w:ind w:firstLine="240" w:firstLineChars="100"/>
              <w:jc w:val="center"/>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kern w:val="0"/>
                <w:sz w:val="24"/>
                <w:szCs w:val="24"/>
              </w:rPr>
              <w:t>李 琛教授</w:t>
            </w:r>
          </w:p>
        </w:tc>
      </w:tr>
      <w:tr>
        <w:tblPrEx>
          <w:tblCellMar>
            <w:top w:w="0" w:type="dxa"/>
            <w:left w:w="108" w:type="dxa"/>
            <w:bottom w:w="0" w:type="dxa"/>
            <w:right w:w="108" w:type="dxa"/>
          </w:tblCellMar>
        </w:tblPrEx>
        <w:trPr>
          <w:trHeight w:val="1820" w:hRule="atLeast"/>
        </w:trPr>
        <w:tc>
          <w:tcPr>
            <w:tcW w:w="131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ind w:firstLine="240" w:firstLineChars="100"/>
              <w:rPr>
                <w:rFonts w:hint="eastAsia" w:ascii="仿宋_GB2312" w:hAnsi="仿宋_GB2312" w:eastAsia="仿宋_GB2312" w:cs="仿宋_GB2312"/>
                <w:b w:val="0"/>
                <w:bCs w:val="0"/>
                <w:color w:val="000000"/>
                <w:kern w:val="0"/>
                <w:sz w:val="24"/>
                <w:szCs w:val="24"/>
              </w:rPr>
            </w:pPr>
          </w:p>
        </w:tc>
        <w:tc>
          <w:tcPr>
            <w:tcW w:w="181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val="0"/>
                <w:bCs w:val="0"/>
                <w:color w:val="000000"/>
                <w:kern w:val="0"/>
                <w:sz w:val="24"/>
                <w:szCs w:val="24"/>
              </w:rPr>
            </w:pPr>
            <w:r>
              <w:rPr>
                <w:rFonts w:hint="eastAsia" w:ascii="仿宋_GB2312" w:hAnsi="仿宋_GB2312" w:eastAsia="仿宋_GB2312" w:cs="仿宋_GB2312"/>
                <w:b w:val="0"/>
                <w:bCs w:val="0"/>
                <w:color w:val="000000"/>
                <w:kern w:val="0"/>
                <w:sz w:val="24"/>
                <w:szCs w:val="24"/>
              </w:rPr>
              <w:t>14：30-17：30</w:t>
            </w:r>
          </w:p>
        </w:tc>
        <w:tc>
          <w:tcPr>
            <w:tcW w:w="18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b w:val="0"/>
                <w:bCs w:val="0"/>
                <w:kern w:val="2"/>
                <w:sz w:val="24"/>
                <w:szCs w:val="24"/>
                <w:lang w:val="en-US" w:eastAsia="zh-CN" w:bidi="ar-SA"/>
              </w:rPr>
            </w:pPr>
            <w:r>
              <w:rPr>
                <w:rFonts w:hint="eastAsia" w:ascii="仿宋_GB2312" w:hAnsi="仿宋_GB2312" w:eastAsia="仿宋_GB2312" w:cs="仿宋_GB2312"/>
                <w:b w:val="0"/>
                <w:bCs w:val="0"/>
                <w:sz w:val="24"/>
                <w:szCs w:val="24"/>
              </w:rPr>
              <w:t>涉外知识产权案例分享与研讨</w:t>
            </w:r>
          </w:p>
        </w:tc>
        <w:tc>
          <w:tcPr>
            <w:tcW w:w="2475"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b w:val="0"/>
                <w:bCs w:val="0"/>
                <w:kern w:val="2"/>
                <w:sz w:val="24"/>
                <w:szCs w:val="24"/>
                <w:lang w:val="en-US" w:eastAsia="zh-CN" w:bidi="ar-SA"/>
              </w:rPr>
            </w:pPr>
            <w:r>
              <w:rPr>
                <w:rFonts w:hint="eastAsia" w:ascii="仿宋_GB2312" w:hAnsi="仿宋_GB2312" w:eastAsia="仿宋_GB2312" w:cs="仿宋_GB2312"/>
                <w:b w:val="0"/>
                <w:bCs w:val="0"/>
                <w:sz w:val="24"/>
                <w:szCs w:val="24"/>
              </w:rPr>
              <w:t>通过亲自办理的涉外知识产权案例进行分享、讨论</w:t>
            </w:r>
          </w:p>
        </w:tc>
        <w:tc>
          <w:tcPr>
            <w:tcW w:w="1740" w:type="dxa"/>
            <w:tcBorders>
              <w:top w:val="single" w:color="auto" w:sz="4" w:space="0"/>
              <w:left w:val="single" w:color="auto" w:sz="4" w:space="0"/>
              <w:bottom w:val="single" w:color="auto" w:sz="4" w:space="0"/>
              <w:right w:val="single" w:color="auto" w:sz="4" w:space="0"/>
            </w:tcBorders>
            <w:noWrap w:val="0"/>
            <w:vAlign w:val="center"/>
          </w:tcPr>
          <w:p>
            <w:pPr>
              <w:widowControl/>
              <w:ind w:firstLine="240" w:firstLineChars="100"/>
              <w:jc w:val="center"/>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桂 佳律师</w:t>
            </w:r>
          </w:p>
          <w:p>
            <w:pPr>
              <w:widowControl/>
              <w:jc w:val="center"/>
              <w:rPr>
                <w:rFonts w:hint="eastAsia" w:ascii="仿宋_GB2312" w:hAnsi="仿宋_GB2312" w:eastAsia="仿宋_GB2312" w:cs="仿宋_GB2312"/>
                <w:b w:val="0"/>
                <w:bCs w:val="0"/>
                <w:kern w:val="0"/>
                <w:sz w:val="24"/>
                <w:szCs w:val="24"/>
                <w:lang w:val="en-US" w:eastAsia="zh-CN" w:bidi="ar-SA"/>
              </w:rPr>
            </w:pPr>
            <w:r>
              <w:rPr>
                <w:rFonts w:hint="eastAsia" w:ascii="仿宋_GB2312" w:hAnsi="仿宋_GB2312" w:eastAsia="仿宋_GB2312" w:cs="仿宋_GB2312"/>
                <w:b w:val="0"/>
                <w:bCs w:val="0"/>
                <w:sz w:val="24"/>
                <w:szCs w:val="24"/>
              </w:rPr>
              <w:t>（北京环球律师事务所）</w:t>
            </w:r>
          </w:p>
        </w:tc>
      </w:tr>
      <w:tr>
        <w:tblPrEx>
          <w:tblCellMar>
            <w:top w:w="0" w:type="dxa"/>
            <w:left w:w="108" w:type="dxa"/>
            <w:bottom w:w="0" w:type="dxa"/>
            <w:right w:w="108" w:type="dxa"/>
          </w:tblCellMar>
        </w:tblPrEx>
        <w:trPr>
          <w:trHeight w:val="1233" w:hRule="atLeast"/>
        </w:trPr>
        <w:tc>
          <w:tcPr>
            <w:tcW w:w="131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rPr>
                <w:rFonts w:hint="eastAsia" w:ascii="仿宋_GB2312" w:hAnsi="仿宋_GB2312" w:eastAsia="仿宋_GB2312" w:cs="仿宋_GB2312"/>
                <w:b w:val="0"/>
                <w:bCs w:val="0"/>
                <w:color w:val="000000"/>
                <w:kern w:val="0"/>
                <w:sz w:val="24"/>
                <w:szCs w:val="24"/>
              </w:rPr>
            </w:pPr>
          </w:p>
        </w:tc>
        <w:tc>
          <w:tcPr>
            <w:tcW w:w="181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val="0"/>
                <w:bCs w:val="0"/>
                <w:color w:val="000000"/>
                <w:kern w:val="0"/>
                <w:sz w:val="24"/>
                <w:szCs w:val="24"/>
              </w:rPr>
            </w:pPr>
            <w:r>
              <w:rPr>
                <w:rFonts w:hint="eastAsia" w:ascii="仿宋_GB2312" w:hAnsi="仿宋_GB2312" w:eastAsia="仿宋_GB2312" w:cs="仿宋_GB2312"/>
                <w:b w:val="0"/>
                <w:bCs w:val="0"/>
                <w:color w:val="000000"/>
                <w:kern w:val="0"/>
                <w:sz w:val="24"/>
                <w:szCs w:val="24"/>
              </w:rPr>
              <w:t>18：30-21：</w:t>
            </w:r>
            <w:r>
              <w:rPr>
                <w:rFonts w:hint="eastAsia" w:ascii="仿宋_GB2312" w:hAnsi="仿宋_GB2312" w:eastAsia="仿宋_GB2312" w:cs="仿宋_GB2312"/>
                <w:b w:val="0"/>
                <w:bCs w:val="0"/>
                <w:color w:val="000000"/>
                <w:kern w:val="0"/>
                <w:sz w:val="24"/>
                <w:szCs w:val="24"/>
                <w:lang w:val="en-US" w:eastAsia="zh-CN"/>
              </w:rPr>
              <w:t>0</w:t>
            </w:r>
            <w:r>
              <w:rPr>
                <w:rFonts w:hint="eastAsia" w:ascii="仿宋_GB2312" w:hAnsi="仿宋_GB2312" w:eastAsia="仿宋_GB2312" w:cs="仿宋_GB2312"/>
                <w:b w:val="0"/>
                <w:bCs w:val="0"/>
                <w:color w:val="000000"/>
                <w:kern w:val="0"/>
                <w:sz w:val="24"/>
                <w:szCs w:val="24"/>
              </w:rPr>
              <w:t>0</w:t>
            </w:r>
          </w:p>
        </w:tc>
        <w:tc>
          <w:tcPr>
            <w:tcW w:w="183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val="0"/>
                <w:bCs w:val="0"/>
                <w:color w:val="000000"/>
                <w:kern w:val="0"/>
                <w:sz w:val="24"/>
                <w:szCs w:val="24"/>
              </w:rPr>
            </w:pPr>
            <w:r>
              <w:rPr>
                <w:rFonts w:hint="eastAsia" w:ascii="仿宋_GB2312" w:hAnsi="仿宋_GB2312" w:eastAsia="仿宋_GB2312" w:cs="仿宋_GB2312"/>
                <w:b w:val="0"/>
                <w:bCs w:val="0"/>
                <w:color w:val="000000"/>
                <w:kern w:val="0"/>
                <w:sz w:val="24"/>
                <w:szCs w:val="24"/>
              </w:rPr>
              <w:t>本次学习心得与收获</w:t>
            </w:r>
            <w:r>
              <w:rPr>
                <w:rFonts w:hint="eastAsia" w:ascii="仿宋_GB2312" w:hAnsi="仿宋_GB2312" w:eastAsia="仿宋_GB2312" w:cs="仿宋_GB2312"/>
                <w:b w:val="0"/>
                <w:bCs w:val="0"/>
                <w:color w:val="000000"/>
                <w:kern w:val="0"/>
                <w:sz w:val="24"/>
                <w:szCs w:val="24"/>
                <w:lang w:val="en-US" w:eastAsia="zh-CN"/>
              </w:rPr>
              <w:t>小结</w:t>
            </w:r>
            <w:r>
              <w:rPr>
                <w:rFonts w:hint="eastAsia" w:ascii="仿宋_GB2312" w:hAnsi="仿宋_GB2312" w:eastAsia="仿宋_GB2312" w:cs="仿宋_GB2312"/>
                <w:b w:val="0"/>
                <w:bCs w:val="0"/>
                <w:color w:val="000000"/>
                <w:kern w:val="0"/>
                <w:sz w:val="24"/>
                <w:szCs w:val="24"/>
                <w:lang w:eastAsia="zh-CN"/>
              </w:rPr>
              <w:t>、</w:t>
            </w:r>
            <w:r>
              <w:rPr>
                <w:rFonts w:hint="eastAsia" w:ascii="仿宋_GB2312" w:hAnsi="仿宋_GB2312" w:eastAsia="仿宋_GB2312" w:cs="仿宋_GB2312"/>
                <w:b w:val="0"/>
                <w:bCs w:val="0"/>
                <w:color w:val="000000"/>
                <w:kern w:val="0"/>
                <w:sz w:val="24"/>
                <w:szCs w:val="24"/>
              </w:rPr>
              <w:t>分组讨论</w:t>
            </w:r>
          </w:p>
        </w:tc>
        <w:tc>
          <w:tcPr>
            <w:tcW w:w="2475" w:type="dxa"/>
            <w:tcBorders>
              <w:top w:val="single" w:color="auto" w:sz="4" w:space="0"/>
              <w:left w:val="single" w:color="auto" w:sz="4" w:space="0"/>
              <w:bottom w:val="single" w:color="auto" w:sz="4" w:space="0"/>
              <w:right w:val="single" w:color="auto" w:sz="4" w:space="0"/>
            </w:tcBorders>
            <w:noWrap w:val="0"/>
            <w:vAlign w:val="center"/>
          </w:tcPr>
          <w:p>
            <w:pPr>
              <w:widowControl/>
              <w:spacing w:line="276" w:lineRule="auto"/>
              <w:jc w:val="both"/>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color w:val="000000"/>
                <w:kern w:val="0"/>
                <w:sz w:val="24"/>
                <w:szCs w:val="24"/>
              </w:rPr>
              <w:t>分组讨论各位学员学习心得与收获，选出本组代表，分组汇报与展示</w:t>
            </w:r>
          </w:p>
        </w:tc>
        <w:tc>
          <w:tcPr>
            <w:tcW w:w="1740" w:type="dxa"/>
            <w:tcBorders>
              <w:top w:val="single" w:color="auto" w:sz="4" w:space="0"/>
              <w:left w:val="single" w:color="auto" w:sz="4" w:space="0"/>
              <w:bottom w:val="single" w:color="auto" w:sz="4" w:space="0"/>
              <w:right w:val="single" w:color="auto" w:sz="4" w:space="0"/>
            </w:tcBorders>
            <w:noWrap w:val="0"/>
            <w:vAlign w:val="center"/>
          </w:tcPr>
          <w:p>
            <w:pPr>
              <w:widowControl/>
              <w:spacing w:line="276" w:lineRule="auto"/>
              <w:jc w:val="both"/>
              <w:rPr>
                <w:rFonts w:hint="eastAsia" w:ascii="仿宋_GB2312" w:hAnsi="仿宋_GB2312" w:eastAsia="仿宋_GB2312" w:cs="仿宋_GB2312"/>
                <w:b w:val="0"/>
                <w:bCs w:val="0"/>
                <w:color w:val="000000"/>
                <w:kern w:val="0"/>
                <w:sz w:val="24"/>
                <w:szCs w:val="24"/>
              </w:rPr>
            </w:pPr>
            <w:r>
              <w:rPr>
                <w:rFonts w:hint="eastAsia" w:ascii="仿宋_GB2312" w:hAnsi="仿宋_GB2312" w:eastAsia="仿宋_GB2312" w:cs="仿宋_GB2312"/>
                <w:b w:val="0"/>
                <w:bCs w:val="0"/>
                <w:color w:val="000000"/>
                <w:kern w:val="0"/>
                <w:sz w:val="24"/>
                <w:szCs w:val="24"/>
                <w:lang w:val="en-US" w:eastAsia="zh-CN"/>
              </w:rPr>
              <w:t>金海军</w:t>
            </w:r>
            <w:r>
              <w:rPr>
                <w:rFonts w:hint="eastAsia" w:ascii="仿宋_GB2312" w:hAnsi="仿宋_GB2312" w:eastAsia="仿宋_GB2312" w:cs="仿宋_GB2312"/>
                <w:b w:val="0"/>
                <w:bCs w:val="0"/>
                <w:color w:val="000000"/>
                <w:kern w:val="0"/>
                <w:sz w:val="24"/>
                <w:szCs w:val="24"/>
              </w:rPr>
              <w:t>教授</w:t>
            </w:r>
          </w:p>
        </w:tc>
      </w:tr>
      <w:tr>
        <w:tblPrEx>
          <w:tblCellMar>
            <w:top w:w="0" w:type="dxa"/>
            <w:left w:w="108" w:type="dxa"/>
            <w:bottom w:w="0" w:type="dxa"/>
            <w:right w:w="108" w:type="dxa"/>
          </w:tblCellMar>
        </w:tblPrEx>
        <w:trPr>
          <w:trHeight w:val="1775" w:hRule="atLeast"/>
        </w:trPr>
        <w:tc>
          <w:tcPr>
            <w:tcW w:w="1310"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val="0"/>
                <w:bCs w:val="0"/>
                <w:color w:val="000000"/>
                <w:kern w:val="0"/>
                <w:sz w:val="24"/>
                <w:szCs w:val="24"/>
                <w:lang w:val="en-US" w:eastAsia="zh-CN"/>
              </w:rPr>
            </w:pPr>
            <w:r>
              <w:rPr>
                <w:rFonts w:hint="eastAsia" w:ascii="仿宋_GB2312" w:hAnsi="仿宋_GB2312" w:eastAsia="仿宋_GB2312" w:cs="仿宋_GB2312"/>
                <w:b w:val="0"/>
                <w:bCs w:val="0"/>
                <w:color w:val="000000"/>
                <w:kern w:val="0"/>
                <w:sz w:val="24"/>
                <w:szCs w:val="24"/>
                <w:lang w:val="en-US" w:eastAsia="zh-CN"/>
              </w:rPr>
              <w:t>4月18日</w:t>
            </w:r>
          </w:p>
          <w:p>
            <w:pPr>
              <w:widowControl/>
              <w:jc w:val="center"/>
              <w:rPr>
                <w:rFonts w:hint="eastAsia" w:ascii="仿宋_GB2312" w:hAnsi="仿宋_GB2312" w:eastAsia="仿宋_GB2312" w:cs="仿宋_GB2312"/>
                <w:b w:val="0"/>
                <w:bCs w:val="0"/>
                <w:color w:val="000000"/>
                <w:kern w:val="0"/>
                <w:sz w:val="24"/>
                <w:szCs w:val="24"/>
                <w:lang w:val="en-US" w:eastAsia="zh-CN"/>
              </w:rPr>
            </w:pPr>
            <w:r>
              <w:rPr>
                <w:rFonts w:hint="eastAsia" w:ascii="仿宋_GB2312" w:hAnsi="仿宋_GB2312" w:eastAsia="仿宋_GB2312" w:cs="仿宋_GB2312"/>
                <w:b w:val="0"/>
                <w:bCs w:val="0"/>
                <w:color w:val="000000"/>
                <w:kern w:val="0"/>
                <w:sz w:val="24"/>
                <w:szCs w:val="24"/>
                <w:lang w:val="en-US" w:eastAsia="zh-CN"/>
              </w:rPr>
              <w:t>（周四）</w:t>
            </w:r>
          </w:p>
          <w:p>
            <w:pPr>
              <w:widowControl/>
              <w:jc w:val="center"/>
              <w:rPr>
                <w:rFonts w:hint="eastAsia" w:ascii="仿宋_GB2312" w:hAnsi="仿宋_GB2312" w:eastAsia="仿宋_GB2312" w:cs="仿宋_GB2312"/>
                <w:b w:val="0"/>
                <w:bCs w:val="0"/>
                <w:color w:val="000000"/>
                <w:kern w:val="0"/>
                <w:sz w:val="24"/>
                <w:szCs w:val="24"/>
                <w:lang w:val="en-US" w:eastAsia="zh-CN"/>
              </w:rPr>
            </w:pPr>
          </w:p>
        </w:tc>
        <w:tc>
          <w:tcPr>
            <w:tcW w:w="181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val="0"/>
                <w:bCs w:val="0"/>
                <w:color w:val="000000"/>
                <w:kern w:val="0"/>
                <w:sz w:val="24"/>
                <w:szCs w:val="24"/>
              </w:rPr>
            </w:pPr>
            <w:r>
              <w:rPr>
                <w:rFonts w:hint="eastAsia" w:ascii="仿宋_GB2312" w:hAnsi="仿宋_GB2312" w:eastAsia="仿宋_GB2312" w:cs="仿宋_GB2312"/>
                <w:b w:val="0"/>
                <w:bCs w:val="0"/>
                <w:color w:val="000000"/>
                <w:kern w:val="0"/>
                <w:sz w:val="24"/>
                <w:szCs w:val="24"/>
              </w:rPr>
              <w:t>9：00-12：00</w:t>
            </w:r>
          </w:p>
        </w:tc>
        <w:tc>
          <w:tcPr>
            <w:tcW w:w="183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 xml:space="preserve"> </w:t>
            </w:r>
            <w:r>
              <w:rPr>
                <w:rFonts w:hint="eastAsia" w:ascii="仿宋_GB2312" w:hAnsi="仿宋_GB2312" w:eastAsia="仿宋_GB2312" w:cs="仿宋_GB2312"/>
                <w:b w:val="0"/>
                <w:bCs w:val="0"/>
                <w:sz w:val="24"/>
                <w:szCs w:val="24"/>
              </w:rPr>
              <w:t>计算机软件及数据库知识产权保护</w:t>
            </w:r>
          </w:p>
        </w:tc>
        <w:tc>
          <w:tcPr>
            <w:tcW w:w="2475"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讲解</w:t>
            </w:r>
            <w:r>
              <w:rPr>
                <w:rFonts w:hint="eastAsia" w:ascii="仿宋_GB2312" w:hAnsi="仿宋_GB2312" w:eastAsia="仿宋_GB2312" w:cs="仿宋_GB2312"/>
                <w:b w:val="0"/>
                <w:bCs w:val="0"/>
                <w:color w:val="000000"/>
                <w:kern w:val="0"/>
                <w:sz w:val="24"/>
                <w:szCs w:val="24"/>
                <w:lang w:val="en-US" w:eastAsia="zh-CN"/>
              </w:rPr>
              <w:t>计算机软件</w:t>
            </w:r>
            <w:r>
              <w:rPr>
                <w:rFonts w:hint="eastAsia" w:ascii="仿宋_GB2312" w:hAnsi="仿宋_GB2312" w:eastAsia="仿宋_GB2312" w:cs="仿宋_GB2312"/>
                <w:b w:val="0"/>
                <w:bCs w:val="0"/>
                <w:color w:val="000000"/>
                <w:kern w:val="0"/>
                <w:sz w:val="24"/>
                <w:szCs w:val="24"/>
              </w:rPr>
              <w:t>与数据库的法律保护实务、典型案例以及数据平台企业的常见做法</w:t>
            </w:r>
          </w:p>
        </w:tc>
        <w:tc>
          <w:tcPr>
            <w:tcW w:w="174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张吉豫副教授</w:t>
            </w:r>
          </w:p>
        </w:tc>
      </w:tr>
      <w:tr>
        <w:tblPrEx>
          <w:tblCellMar>
            <w:top w:w="0" w:type="dxa"/>
            <w:left w:w="108" w:type="dxa"/>
            <w:bottom w:w="0" w:type="dxa"/>
            <w:right w:w="108" w:type="dxa"/>
          </w:tblCellMar>
        </w:tblPrEx>
        <w:trPr>
          <w:trHeight w:val="1558" w:hRule="atLeast"/>
        </w:trPr>
        <w:tc>
          <w:tcPr>
            <w:tcW w:w="131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rPr>
                <w:rFonts w:hint="eastAsia" w:ascii="仿宋_GB2312" w:hAnsi="仿宋_GB2312" w:eastAsia="仿宋_GB2312" w:cs="仿宋_GB2312"/>
                <w:b w:val="0"/>
                <w:bCs w:val="0"/>
                <w:color w:val="000000"/>
                <w:kern w:val="0"/>
                <w:sz w:val="24"/>
                <w:szCs w:val="24"/>
              </w:rPr>
            </w:pPr>
          </w:p>
        </w:tc>
        <w:tc>
          <w:tcPr>
            <w:tcW w:w="181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val="0"/>
                <w:bCs w:val="0"/>
                <w:color w:val="000000"/>
                <w:kern w:val="0"/>
                <w:sz w:val="24"/>
                <w:szCs w:val="24"/>
              </w:rPr>
            </w:pPr>
            <w:r>
              <w:rPr>
                <w:rFonts w:hint="eastAsia" w:ascii="仿宋_GB2312" w:hAnsi="仿宋_GB2312" w:eastAsia="仿宋_GB2312" w:cs="仿宋_GB2312"/>
                <w:b w:val="0"/>
                <w:bCs w:val="0"/>
                <w:color w:val="000000"/>
                <w:kern w:val="0"/>
                <w:sz w:val="24"/>
                <w:szCs w:val="24"/>
              </w:rPr>
              <w:t>1</w:t>
            </w:r>
            <w:r>
              <w:rPr>
                <w:rFonts w:hint="eastAsia" w:ascii="仿宋_GB2312" w:hAnsi="仿宋_GB2312" w:eastAsia="仿宋_GB2312" w:cs="仿宋_GB2312"/>
                <w:b w:val="0"/>
                <w:bCs w:val="0"/>
                <w:color w:val="000000"/>
                <w:kern w:val="0"/>
                <w:sz w:val="24"/>
                <w:szCs w:val="24"/>
                <w:lang w:val="en-US" w:eastAsia="zh-CN"/>
              </w:rPr>
              <w:t>3</w:t>
            </w:r>
            <w:r>
              <w:rPr>
                <w:rFonts w:hint="eastAsia" w:ascii="仿宋_GB2312" w:hAnsi="仿宋_GB2312" w:eastAsia="仿宋_GB2312" w:cs="仿宋_GB2312"/>
                <w:b w:val="0"/>
                <w:bCs w:val="0"/>
                <w:color w:val="000000"/>
                <w:kern w:val="0"/>
                <w:sz w:val="24"/>
                <w:szCs w:val="24"/>
              </w:rPr>
              <w:t>：30-1</w:t>
            </w:r>
            <w:r>
              <w:rPr>
                <w:rFonts w:hint="eastAsia" w:ascii="仿宋_GB2312" w:hAnsi="仿宋_GB2312" w:eastAsia="仿宋_GB2312" w:cs="仿宋_GB2312"/>
                <w:b w:val="0"/>
                <w:bCs w:val="0"/>
                <w:color w:val="000000"/>
                <w:kern w:val="0"/>
                <w:sz w:val="24"/>
                <w:szCs w:val="24"/>
                <w:lang w:val="en-US" w:eastAsia="zh-CN"/>
              </w:rPr>
              <w:t>6</w:t>
            </w:r>
            <w:r>
              <w:rPr>
                <w:rFonts w:hint="eastAsia" w:ascii="仿宋_GB2312" w:hAnsi="仿宋_GB2312" w:eastAsia="仿宋_GB2312" w:cs="仿宋_GB2312"/>
                <w:b w:val="0"/>
                <w:bCs w:val="0"/>
                <w:color w:val="000000"/>
                <w:kern w:val="0"/>
                <w:sz w:val="24"/>
                <w:szCs w:val="24"/>
              </w:rPr>
              <w:t>：30</w:t>
            </w:r>
          </w:p>
        </w:tc>
        <w:tc>
          <w:tcPr>
            <w:tcW w:w="183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 xml:space="preserve"> 涉外</w:t>
            </w:r>
            <w:r>
              <w:rPr>
                <w:rFonts w:hint="eastAsia" w:ascii="仿宋_GB2312" w:hAnsi="仿宋_GB2312" w:eastAsia="仿宋_GB2312" w:cs="仿宋_GB2312"/>
                <w:b w:val="0"/>
                <w:bCs w:val="0"/>
                <w:sz w:val="24"/>
                <w:szCs w:val="24"/>
              </w:rPr>
              <w:t>商业秘密的法律保护</w:t>
            </w:r>
          </w:p>
        </w:tc>
        <w:tc>
          <w:tcPr>
            <w:tcW w:w="2475"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介绍商业秘密保护的各国法律制度、规则体系、涉外商业秘密保护的方法、实务</w:t>
            </w:r>
          </w:p>
        </w:tc>
        <w:tc>
          <w:tcPr>
            <w:tcW w:w="1740" w:type="dxa"/>
            <w:tcBorders>
              <w:top w:val="single" w:color="auto" w:sz="4" w:space="0"/>
              <w:left w:val="single" w:color="auto" w:sz="4" w:space="0"/>
              <w:bottom w:val="single" w:color="auto" w:sz="4" w:space="0"/>
              <w:right w:val="single" w:color="auto" w:sz="4" w:space="0"/>
            </w:tcBorders>
            <w:noWrap w:val="0"/>
            <w:vAlign w:val="center"/>
          </w:tcPr>
          <w:p>
            <w:pPr>
              <w:widowControl/>
              <w:spacing w:line="276" w:lineRule="auto"/>
              <w:jc w:val="center"/>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金海军教授</w:t>
            </w:r>
          </w:p>
        </w:tc>
      </w:tr>
      <w:tr>
        <w:tblPrEx>
          <w:tblCellMar>
            <w:top w:w="0" w:type="dxa"/>
            <w:left w:w="108" w:type="dxa"/>
            <w:bottom w:w="0" w:type="dxa"/>
            <w:right w:w="108" w:type="dxa"/>
          </w:tblCellMar>
        </w:tblPrEx>
        <w:trPr>
          <w:trHeight w:val="893" w:hRule="atLeast"/>
        </w:trPr>
        <w:tc>
          <w:tcPr>
            <w:tcW w:w="131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rPr>
                <w:rFonts w:hint="eastAsia" w:ascii="仿宋_GB2312" w:hAnsi="仿宋_GB2312" w:eastAsia="仿宋_GB2312" w:cs="仿宋_GB2312"/>
                <w:b w:val="0"/>
                <w:bCs w:val="0"/>
                <w:color w:val="000000"/>
                <w:kern w:val="0"/>
                <w:sz w:val="24"/>
                <w:szCs w:val="24"/>
              </w:rPr>
            </w:pPr>
          </w:p>
        </w:tc>
        <w:tc>
          <w:tcPr>
            <w:tcW w:w="181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val="0"/>
                <w:bCs w:val="0"/>
                <w:color w:val="000000"/>
                <w:kern w:val="0"/>
                <w:sz w:val="24"/>
                <w:szCs w:val="24"/>
                <w:lang w:val="en-US" w:eastAsia="zh-CN"/>
              </w:rPr>
            </w:pPr>
            <w:r>
              <w:rPr>
                <w:rFonts w:hint="eastAsia" w:ascii="仿宋_GB2312" w:hAnsi="仿宋_GB2312" w:eastAsia="仿宋_GB2312" w:cs="仿宋_GB2312"/>
                <w:b w:val="0"/>
                <w:bCs w:val="0"/>
                <w:color w:val="000000"/>
                <w:kern w:val="0"/>
                <w:sz w:val="24"/>
                <w:szCs w:val="24"/>
              </w:rPr>
              <w:t>1</w:t>
            </w:r>
            <w:r>
              <w:rPr>
                <w:rFonts w:hint="eastAsia" w:ascii="仿宋_GB2312" w:hAnsi="仿宋_GB2312" w:eastAsia="仿宋_GB2312" w:cs="仿宋_GB2312"/>
                <w:b w:val="0"/>
                <w:bCs w:val="0"/>
                <w:color w:val="000000"/>
                <w:kern w:val="0"/>
                <w:sz w:val="24"/>
                <w:szCs w:val="24"/>
                <w:lang w:val="en-US" w:eastAsia="zh-CN"/>
              </w:rPr>
              <w:t>6</w:t>
            </w:r>
            <w:r>
              <w:rPr>
                <w:rFonts w:hint="eastAsia" w:ascii="仿宋_GB2312" w:hAnsi="仿宋_GB2312" w:eastAsia="仿宋_GB2312" w:cs="仿宋_GB2312"/>
                <w:b w:val="0"/>
                <w:bCs w:val="0"/>
                <w:color w:val="000000"/>
                <w:kern w:val="0"/>
                <w:sz w:val="24"/>
                <w:szCs w:val="24"/>
              </w:rPr>
              <w:t>:40-1</w:t>
            </w:r>
            <w:r>
              <w:rPr>
                <w:rFonts w:hint="eastAsia" w:ascii="仿宋_GB2312" w:hAnsi="仿宋_GB2312" w:eastAsia="仿宋_GB2312" w:cs="仿宋_GB2312"/>
                <w:b w:val="0"/>
                <w:bCs w:val="0"/>
                <w:color w:val="000000"/>
                <w:kern w:val="0"/>
                <w:sz w:val="24"/>
                <w:szCs w:val="24"/>
                <w:lang w:val="en-US" w:eastAsia="zh-CN"/>
              </w:rPr>
              <w:t>7</w:t>
            </w:r>
            <w:r>
              <w:rPr>
                <w:rFonts w:hint="eastAsia" w:ascii="仿宋_GB2312" w:hAnsi="仿宋_GB2312" w:eastAsia="仿宋_GB2312" w:cs="仿宋_GB2312"/>
                <w:b w:val="0"/>
                <w:bCs w:val="0"/>
                <w:color w:val="000000"/>
                <w:kern w:val="0"/>
                <w:sz w:val="24"/>
                <w:szCs w:val="24"/>
              </w:rPr>
              <w:t>:</w:t>
            </w:r>
            <w:r>
              <w:rPr>
                <w:rFonts w:hint="eastAsia" w:ascii="仿宋_GB2312" w:hAnsi="仿宋_GB2312" w:eastAsia="仿宋_GB2312" w:cs="仿宋_GB2312"/>
                <w:b w:val="0"/>
                <w:bCs w:val="0"/>
                <w:color w:val="000000"/>
                <w:kern w:val="0"/>
                <w:sz w:val="24"/>
                <w:szCs w:val="24"/>
                <w:lang w:val="en-US" w:eastAsia="zh-CN"/>
              </w:rPr>
              <w:t>00</w:t>
            </w:r>
          </w:p>
        </w:tc>
        <w:tc>
          <w:tcPr>
            <w:tcW w:w="6045" w:type="dxa"/>
            <w:gridSpan w:val="3"/>
            <w:tcBorders>
              <w:top w:val="single" w:color="auto" w:sz="4" w:space="0"/>
              <w:left w:val="single" w:color="auto" w:sz="4" w:space="0"/>
              <w:bottom w:val="single" w:color="auto" w:sz="4" w:space="0"/>
              <w:right w:val="single" w:color="auto" w:sz="4" w:space="0"/>
            </w:tcBorders>
            <w:noWrap w:val="0"/>
            <w:vAlign w:val="center"/>
          </w:tcPr>
          <w:p>
            <w:pPr>
              <w:widowControl/>
              <w:ind w:firstLine="480" w:firstLineChars="200"/>
              <w:jc w:val="center"/>
              <w:rPr>
                <w:rFonts w:hint="eastAsia" w:ascii="仿宋_GB2312" w:hAnsi="仿宋_GB2312" w:eastAsia="仿宋_GB2312" w:cs="仿宋_GB2312"/>
                <w:b w:val="0"/>
                <w:bCs w:val="0"/>
                <w:kern w:val="0"/>
                <w:sz w:val="24"/>
                <w:szCs w:val="24"/>
              </w:rPr>
            </w:pPr>
            <w:r>
              <w:rPr>
                <w:rFonts w:hint="eastAsia" w:ascii="仿宋_GB2312" w:hAnsi="仿宋_GB2312" w:eastAsia="仿宋_GB2312" w:cs="仿宋_GB2312"/>
                <w:b w:val="0"/>
                <w:bCs w:val="0"/>
                <w:sz w:val="24"/>
                <w:szCs w:val="24"/>
              </w:rPr>
              <w:t>结业仪式</w:t>
            </w:r>
          </w:p>
        </w:tc>
      </w:tr>
      <w:tr>
        <w:tblPrEx>
          <w:tblCellMar>
            <w:top w:w="0" w:type="dxa"/>
            <w:left w:w="108" w:type="dxa"/>
            <w:bottom w:w="0" w:type="dxa"/>
            <w:right w:w="108" w:type="dxa"/>
          </w:tblCellMar>
        </w:tblPrEx>
        <w:trPr>
          <w:trHeight w:val="572" w:hRule="atLeast"/>
        </w:trPr>
        <w:tc>
          <w:tcPr>
            <w:tcW w:w="131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val="0"/>
                <w:bCs w:val="0"/>
                <w:color w:val="000000"/>
                <w:kern w:val="0"/>
                <w:sz w:val="24"/>
                <w:szCs w:val="24"/>
                <w:lang w:val="en-US" w:eastAsia="zh-CN"/>
              </w:rPr>
            </w:pPr>
            <w:r>
              <w:rPr>
                <w:rFonts w:hint="eastAsia" w:ascii="仿宋_GB2312" w:hAnsi="仿宋_GB2312" w:eastAsia="仿宋_GB2312" w:cs="仿宋_GB2312"/>
                <w:b w:val="0"/>
                <w:bCs w:val="0"/>
                <w:color w:val="000000"/>
                <w:kern w:val="0"/>
                <w:sz w:val="24"/>
                <w:szCs w:val="24"/>
                <w:lang w:val="en-US" w:eastAsia="zh-CN"/>
              </w:rPr>
              <w:t>4月19日</w:t>
            </w:r>
          </w:p>
          <w:p>
            <w:pPr>
              <w:widowControl/>
              <w:jc w:val="center"/>
              <w:rPr>
                <w:rFonts w:hint="eastAsia" w:ascii="仿宋_GB2312" w:hAnsi="仿宋_GB2312" w:eastAsia="仿宋_GB2312" w:cs="仿宋_GB2312"/>
                <w:b w:val="0"/>
                <w:bCs w:val="0"/>
                <w:color w:val="000000"/>
                <w:kern w:val="0"/>
                <w:sz w:val="24"/>
                <w:szCs w:val="24"/>
                <w:lang w:val="en-US" w:eastAsia="zh-CN"/>
              </w:rPr>
            </w:pPr>
            <w:r>
              <w:rPr>
                <w:rFonts w:hint="eastAsia" w:ascii="仿宋_GB2312" w:hAnsi="仿宋_GB2312" w:eastAsia="仿宋_GB2312" w:cs="仿宋_GB2312"/>
                <w:b w:val="0"/>
                <w:bCs w:val="0"/>
                <w:color w:val="000000"/>
                <w:kern w:val="0"/>
                <w:sz w:val="24"/>
                <w:szCs w:val="24"/>
                <w:lang w:val="en-US" w:eastAsia="zh-CN"/>
              </w:rPr>
              <w:t>（周五）</w:t>
            </w:r>
          </w:p>
        </w:tc>
        <w:tc>
          <w:tcPr>
            <w:tcW w:w="181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val="0"/>
                <w:bCs w:val="0"/>
                <w:color w:val="000000"/>
                <w:kern w:val="0"/>
                <w:sz w:val="24"/>
                <w:szCs w:val="24"/>
              </w:rPr>
            </w:pPr>
            <w:r>
              <w:rPr>
                <w:rFonts w:hint="eastAsia" w:ascii="仿宋_GB2312" w:hAnsi="仿宋_GB2312" w:eastAsia="仿宋_GB2312" w:cs="仿宋_GB2312"/>
                <w:b w:val="0"/>
                <w:bCs w:val="0"/>
                <w:color w:val="000000"/>
                <w:kern w:val="0"/>
                <w:sz w:val="24"/>
                <w:szCs w:val="24"/>
              </w:rPr>
              <w:t>全天</w:t>
            </w:r>
          </w:p>
        </w:tc>
        <w:tc>
          <w:tcPr>
            <w:tcW w:w="6045"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val="0"/>
                <w:bCs w:val="0"/>
                <w:kern w:val="0"/>
                <w:sz w:val="24"/>
                <w:szCs w:val="24"/>
              </w:rPr>
            </w:pPr>
            <w:r>
              <w:rPr>
                <w:rFonts w:hint="eastAsia" w:ascii="仿宋_GB2312" w:hAnsi="仿宋_GB2312" w:eastAsia="仿宋_GB2312" w:cs="仿宋_GB2312"/>
                <w:b w:val="0"/>
                <w:bCs w:val="0"/>
                <w:sz w:val="24"/>
                <w:szCs w:val="24"/>
              </w:rPr>
              <w:t>返程</w:t>
            </w:r>
          </w:p>
        </w:tc>
      </w:tr>
    </w:tbl>
    <w:p>
      <w:pPr>
        <w:pStyle w:val="2"/>
        <w:rPr>
          <w:rFonts w:hint="eastAsia"/>
          <w:lang w:val="en-US" w:eastAsia="zh-CN"/>
        </w:rPr>
      </w:pPr>
    </w:p>
    <w:p>
      <w:pPr>
        <w:pStyle w:val="4"/>
        <w:rPr>
          <w:rFonts w:hint="eastAsia"/>
          <w:lang w:val="en-US" w:eastAsia="zh-CN"/>
        </w:rPr>
      </w:pPr>
    </w:p>
    <w:p>
      <w:pPr>
        <w:pStyle w:val="4"/>
        <w:rPr>
          <w:lang w:eastAsia="zh-Hans"/>
        </w:rPr>
      </w:pPr>
    </w:p>
    <w:p>
      <w:pPr>
        <w:rPr>
          <w:rFonts w:hint="eastAsia" w:ascii="方正小标宋简体" w:hAnsi="方正小标宋简体" w:eastAsia="方正小标宋简体" w:cs="方正小标宋简体"/>
          <w:kern w:val="2"/>
          <w:sz w:val="32"/>
          <w:szCs w:val="32"/>
          <w:lang w:val="en-US" w:eastAsia="zh-CN" w:bidi="ar-SA"/>
        </w:rPr>
      </w:pPr>
      <w:r>
        <w:rPr>
          <w:rFonts w:hint="eastAsia" w:ascii="方正小标宋简体" w:hAnsi="方正小标宋简体" w:eastAsia="方正小标宋简体" w:cs="方正小标宋简体"/>
          <w:kern w:val="2"/>
          <w:sz w:val="32"/>
          <w:szCs w:val="32"/>
          <w:lang w:val="en-US" w:eastAsia="zh-CN" w:bidi="ar-SA"/>
        </w:rPr>
        <w:br w:type="page"/>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0" w:firstLineChars="0"/>
        <w:jc w:val="both"/>
        <w:textAlignment w:val="auto"/>
        <w:rPr>
          <w:rFonts w:hint="default"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附件2</w:t>
      </w:r>
    </w:p>
    <w:p>
      <w:pPr>
        <w:keepNext w:val="0"/>
        <w:keepLines w:val="0"/>
        <w:pageBreakBefore w:val="0"/>
        <w:widowControl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line="680" w:lineRule="exact"/>
        <w:jc w:val="center"/>
        <w:textAlignment w:val="auto"/>
        <w:rPr>
          <w:rFonts w:hint="eastAsia" w:ascii="方正小标宋简体" w:hAnsi="方正小标宋简体" w:eastAsia="方正小标宋简体" w:cs="方正小标宋简体"/>
          <w:sz w:val="44"/>
          <w:szCs w:val="32"/>
          <w:lang w:val="en-US" w:eastAsia="zh-CN"/>
        </w:rPr>
      </w:pPr>
      <w:r>
        <w:rPr>
          <w:rFonts w:hint="eastAsia" w:ascii="方正小标宋简体" w:hAnsi="方正小标宋简体" w:eastAsia="方正小标宋简体" w:cs="方正小标宋简体"/>
          <w:sz w:val="44"/>
          <w:szCs w:val="32"/>
          <w:lang w:val="en-US" w:eastAsia="zh-CN"/>
        </w:rPr>
        <w:t>师资介绍</w:t>
      </w:r>
    </w:p>
    <w:p>
      <w:pPr>
        <w:keepNext w:val="0"/>
        <w:keepLines w:val="0"/>
        <w:pageBreakBefore w:val="0"/>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仿宋" w:hAnsi="仿宋" w:eastAsia="仿宋" w:cs="仿宋"/>
          <w:b/>
          <w:bCs/>
          <w:kern w:val="0"/>
        </w:rPr>
      </w:pPr>
    </w:p>
    <w:p>
      <w:pPr>
        <w:spacing w:line="560" w:lineRule="exact"/>
        <w:ind w:firstLine="640" w:firstLineChars="200"/>
        <w:rPr>
          <w:rFonts w:ascii="黑体" w:hAnsi="黑体" w:eastAsia="黑体" w:cs="黑体"/>
        </w:rPr>
      </w:pPr>
      <w:r>
        <w:rPr>
          <w:rFonts w:hint="eastAsia" w:ascii="黑体" w:hAnsi="黑体" w:eastAsia="黑体" w:cs="黑体"/>
          <w:lang w:val="en-US" w:eastAsia="zh-CN"/>
        </w:rPr>
        <w:t>一</w:t>
      </w:r>
      <w:r>
        <w:rPr>
          <w:rFonts w:hint="eastAsia" w:ascii="黑体" w:hAnsi="黑体" w:eastAsia="黑体" w:cs="黑体"/>
        </w:rPr>
        <w:t>、黄文艺</w:t>
      </w:r>
    </w:p>
    <w:p>
      <w:pPr>
        <w:pStyle w:val="4"/>
        <w:numPr>
          <w:ilvl w:val="0"/>
          <w:numId w:val="0"/>
        </w:numPr>
        <w:spacing w:line="560" w:lineRule="exact"/>
        <w:ind w:firstLine="640" w:firstLineChars="200"/>
        <w:rPr>
          <w:rFonts w:hint="eastAsia" w:ascii="仿宋_GB2312" w:hAnsi="仿宋_GB2312" w:eastAsia="仿宋_GB2312" w:cs="仿宋_GB2312"/>
          <w:szCs w:val="32"/>
        </w:rPr>
      </w:pPr>
      <w:r>
        <w:rPr>
          <w:rFonts w:hint="eastAsia" w:ascii="仿宋_GB2312" w:hAnsi="仿宋_GB2312" w:eastAsia="仿宋_GB2312" w:cs="仿宋_GB2312"/>
          <w:szCs w:val="32"/>
        </w:rPr>
        <w:t>中国人民大学法学院院长，教授，博士生导师，《中国法学》总编辑，教育部长江学者奖励计划特聘教授，中华法治文明高等研究院院长。曾任中央政法委政策研究局副局长、吉林省社会科学院副院长。</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sz w:val="32"/>
        </w:rPr>
      </w:pPr>
      <w:r>
        <w:rPr>
          <w:rFonts w:hint="eastAsia" w:ascii="黑体" w:hAnsi="黑体" w:eastAsia="黑体" w:cs="黑体"/>
          <w:b w:val="0"/>
          <w:bCs w:val="0"/>
          <w:sz w:val="32"/>
          <w:lang w:val="en-US" w:eastAsia="zh-CN"/>
        </w:rPr>
        <w:t>二、</w:t>
      </w:r>
      <w:r>
        <w:rPr>
          <w:rFonts w:hint="eastAsia" w:ascii="黑体" w:hAnsi="黑体" w:eastAsia="黑体" w:cs="黑体"/>
          <w:b w:val="0"/>
          <w:bCs w:val="0"/>
          <w:sz w:val="32"/>
        </w:rPr>
        <w:t>郭</w:t>
      </w:r>
      <w:r>
        <w:rPr>
          <w:rFonts w:hint="eastAsia" w:ascii="黑体" w:hAnsi="黑体" w:eastAsia="黑体" w:cs="黑体"/>
          <w:b w:val="0"/>
          <w:bCs w:val="0"/>
          <w:sz w:val="32"/>
          <w:lang w:val="en-US" w:eastAsia="zh-CN"/>
        </w:rPr>
        <w:t xml:space="preserve">  </w:t>
      </w:r>
      <w:r>
        <w:rPr>
          <w:rFonts w:hint="eastAsia" w:ascii="黑体" w:hAnsi="黑体" w:eastAsia="黑体" w:cs="黑体"/>
          <w:b w:val="0"/>
          <w:bCs w:val="0"/>
          <w:sz w:val="32"/>
        </w:rPr>
        <w:t>禾</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法学博士，教授，博士生导师，中国知识产权法学研究会副会长兼秘书长、知识产权学院副院长。兼任中国法学会知识产权法研究会常务理事、中国知识产权研究会理事、中国版权协会理事、中国国际贸易促进委员会域名争议解决中心专家组成员、国家推进企业使用正版软件工作部际联席会议办公室专家组成员、全国产品缺陷与安全管理标准化技术委员会委员</w:t>
      </w:r>
      <w:r>
        <w:rPr>
          <w:rFonts w:hint="eastAsia" w:ascii="仿宋_GB2312" w:hAnsi="仿宋_GB2312" w:eastAsia="仿宋_GB2312" w:cs="仿宋_GB2312"/>
          <w:sz w:val="32"/>
          <w:szCs w:val="32"/>
          <w:lang w:eastAsia="zh-CN"/>
        </w:rPr>
        <w:t>。</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三、</w:t>
      </w:r>
      <w:r>
        <w:rPr>
          <w:rFonts w:hint="eastAsia" w:ascii="黑体" w:hAnsi="黑体" w:eastAsia="黑体" w:cs="黑体"/>
          <w:sz w:val="32"/>
          <w:szCs w:val="32"/>
        </w:rPr>
        <w:t>孟雁北</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学博士，中国人民大学法学院教授，博士生导师，中国人民大学亚太法学研究院副院长，经济法教研室副主任，数字经济竞争法研究中心主任，国家发展与战略研究院反垄断与竞争政策研究中心执行主任，中韩市场暨规制法研究中心（MRLC）中方执行主任。中国商业法研究会常务理事，中国经济法学研究会理事，中国能源法研究会理事，中国农业经济法研究会理事，中国世界贸易组织研究会竞争政策与法律专业委员会专家，北京市经济法学研究会副会长、常务理事。</w:t>
      </w:r>
    </w:p>
    <w:p>
      <w:pPr>
        <w:spacing w:line="560" w:lineRule="exact"/>
        <w:ind w:firstLine="640" w:firstLineChars="200"/>
        <w:jc w:val="left"/>
        <w:rPr>
          <w:rFonts w:hint="eastAsia" w:ascii="黑体" w:hAnsi="黑体" w:eastAsia="黑体" w:cs="黑体"/>
          <w:b w:val="0"/>
          <w:bCs w:val="0"/>
          <w:sz w:val="32"/>
          <w:szCs w:val="20"/>
          <w:lang w:val="en-US" w:eastAsia="zh-CN"/>
        </w:rPr>
      </w:pPr>
      <w:r>
        <w:rPr>
          <w:rFonts w:hint="eastAsia" w:ascii="黑体" w:hAnsi="黑体" w:eastAsia="黑体" w:cs="黑体"/>
          <w:b w:val="0"/>
          <w:bCs w:val="0"/>
          <w:sz w:val="32"/>
          <w:szCs w:val="20"/>
          <w:lang w:val="en-US" w:eastAsia="zh-CN"/>
        </w:rPr>
        <w:t>四、殷少平</w:t>
      </w:r>
    </w:p>
    <w:p>
      <w:pPr>
        <w:spacing w:line="560" w:lineRule="exact"/>
        <w:ind w:firstLine="640" w:firstLineChars="200"/>
        <w:rPr>
          <w:rFonts w:hint="eastAsia" w:ascii="Times New Roman" w:hAnsi="Times New Roman" w:eastAsia="仿宋_GB2312" w:cs="Times New Roman"/>
          <w:sz w:val="32"/>
          <w:szCs w:val="20"/>
          <w:lang w:eastAsia="zh-CN"/>
        </w:rPr>
      </w:pPr>
      <w:r>
        <w:rPr>
          <w:rFonts w:hint="eastAsia" w:ascii="Times New Roman" w:hAnsi="Times New Roman" w:eastAsia="仿宋_GB2312" w:cs="Times New Roman"/>
          <w:sz w:val="32"/>
          <w:szCs w:val="20"/>
        </w:rPr>
        <w:t>中国人民大学法学院</w:t>
      </w:r>
      <w:r>
        <w:rPr>
          <w:rFonts w:hint="eastAsia" w:ascii="Times New Roman" w:hAnsi="Times New Roman" w:eastAsia="仿宋_GB2312" w:cs="Times New Roman"/>
          <w:sz w:val="32"/>
          <w:szCs w:val="20"/>
          <w:lang w:val="en-US" w:eastAsia="zh-CN"/>
        </w:rPr>
        <w:t>副教授、法学博士，研究领域为民商法、知识产权法、竞争法、公司法、税法、金融法</w:t>
      </w:r>
      <w:r>
        <w:rPr>
          <w:rFonts w:hint="eastAsia" w:ascii="Times New Roman" w:hAnsi="Times New Roman" w:eastAsia="仿宋_GB2312" w:cs="Times New Roman"/>
          <w:sz w:val="32"/>
          <w:szCs w:val="20"/>
          <w:lang w:eastAsia="zh-CN"/>
        </w:rPr>
        <w:t>。</w:t>
      </w:r>
      <w:r>
        <w:rPr>
          <w:rFonts w:hint="eastAsia" w:ascii="Times New Roman" w:hAnsi="Times New Roman" w:eastAsia="仿宋_GB2312" w:cs="Times New Roman"/>
          <w:sz w:val="32"/>
          <w:szCs w:val="20"/>
          <w:lang w:val="en-US" w:eastAsia="zh-CN"/>
        </w:rPr>
        <w:t>曾</w:t>
      </w:r>
      <w:r>
        <w:rPr>
          <w:rFonts w:hint="eastAsia" w:cs="Times New Roman"/>
          <w:sz w:val="32"/>
          <w:szCs w:val="20"/>
          <w:lang w:val="en-US" w:eastAsia="zh-CN"/>
        </w:rPr>
        <w:t>任</w:t>
      </w:r>
      <w:r>
        <w:rPr>
          <w:rFonts w:hint="eastAsia" w:ascii="Times New Roman" w:hAnsi="Times New Roman" w:eastAsia="仿宋_GB2312" w:cs="Times New Roman"/>
          <w:sz w:val="32"/>
          <w:szCs w:val="20"/>
          <w:lang w:val="en-US" w:eastAsia="zh-CN"/>
        </w:rPr>
        <w:t>最高人民法院民三庭审判员。</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黑体" w:hAnsi="黑体" w:eastAsia="黑体" w:cs="黑体"/>
          <w:b w:val="0"/>
          <w:bCs w:val="0"/>
          <w:sz w:val="32"/>
        </w:rPr>
      </w:pPr>
      <w:r>
        <w:rPr>
          <w:rFonts w:hint="eastAsia" w:ascii="黑体" w:hAnsi="黑体" w:eastAsia="黑体" w:cs="黑体"/>
          <w:b w:val="0"/>
          <w:bCs w:val="0"/>
          <w:sz w:val="32"/>
          <w:lang w:val="en-US" w:eastAsia="zh-CN"/>
        </w:rPr>
        <w:t>五、</w:t>
      </w:r>
      <w:r>
        <w:rPr>
          <w:rFonts w:hint="eastAsia" w:ascii="黑体" w:hAnsi="黑体" w:eastAsia="黑体" w:cs="黑体"/>
          <w:b w:val="0"/>
          <w:bCs w:val="0"/>
          <w:sz w:val="32"/>
        </w:rPr>
        <w:t>丁晓东</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宋体" w:hAnsi="宋体" w:eastAsia="仿宋_GB2312"/>
          <w:sz w:val="32"/>
          <w:szCs w:val="32"/>
          <w:lang w:eastAsia="zh-CN"/>
        </w:rPr>
      </w:pPr>
      <w:r>
        <w:rPr>
          <w:rFonts w:hint="eastAsia" w:ascii="Times New Roman" w:hAnsi="Times New Roman" w:eastAsia="仿宋_GB2312"/>
          <w:sz w:val="32"/>
          <w:szCs w:val="20"/>
        </w:rPr>
        <w:t>中国人民大学法学院教授、博士生导师，未来法治研究院副院长。中国法学会网络法与信息法学研究会理事</w:t>
      </w:r>
      <w:r>
        <w:rPr>
          <w:rFonts w:hint="eastAsia" w:ascii="Times New Roman" w:hAnsi="Times New Roman" w:eastAsia="仿宋_GB2312"/>
          <w:sz w:val="32"/>
          <w:szCs w:val="20"/>
          <w:lang w:eastAsia="zh-CN"/>
        </w:rPr>
        <w:t>、</w:t>
      </w:r>
      <w:r>
        <w:rPr>
          <w:rFonts w:hint="eastAsia" w:ascii="Times New Roman" w:hAnsi="Times New Roman" w:eastAsia="仿宋_GB2312"/>
          <w:sz w:val="32"/>
          <w:szCs w:val="20"/>
        </w:rPr>
        <w:t>中央网信办、科技部专家组成员</w:t>
      </w:r>
      <w:r>
        <w:rPr>
          <w:rFonts w:hint="eastAsia" w:ascii="Times New Roman" w:hAnsi="Times New Roman" w:eastAsia="仿宋_GB2312"/>
          <w:sz w:val="32"/>
          <w:szCs w:val="20"/>
          <w:lang w:eastAsia="zh-CN"/>
        </w:rPr>
        <w:t>、</w:t>
      </w:r>
      <w:r>
        <w:rPr>
          <w:rFonts w:hint="eastAsia" w:ascii="Times New Roman" w:hAnsi="Times New Roman" w:eastAsia="仿宋_GB2312"/>
          <w:sz w:val="32"/>
          <w:szCs w:val="20"/>
        </w:rPr>
        <w:t>北京市行政法学研究会理事</w:t>
      </w:r>
      <w:r>
        <w:rPr>
          <w:rFonts w:hint="eastAsia" w:ascii="Times New Roman" w:hAnsi="Times New Roman" w:eastAsia="仿宋_GB2312"/>
          <w:sz w:val="32"/>
          <w:szCs w:val="20"/>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六、</w:t>
      </w:r>
      <w:r>
        <w:rPr>
          <w:rFonts w:hint="eastAsia" w:ascii="黑体" w:hAnsi="黑体" w:eastAsia="黑体" w:cs="黑体"/>
          <w:b w:val="0"/>
          <w:bCs w:val="0"/>
          <w:sz w:val="32"/>
          <w:szCs w:val="32"/>
        </w:rPr>
        <w:t>金海军</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宋体" w:hAnsi="宋体" w:eastAsia="仿宋_GB2312"/>
          <w:sz w:val="32"/>
          <w:szCs w:val="32"/>
          <w:lang w:eastAsia="zh-CN"/>
        </w:rPr>
      </w:pPr>
      <w:r>
        <w:rPr>
          <w:rFonts w:hint="eastAsia" w:ascii="Times New Roman" w:hAnsi="Times New Roman" w:eastAsia="仿宋_GB2312"/>
          <w:sz w:val="32"/>
          <w:szCs w:val="20"/>
        </w:rPr>
        <w:t>法学博士，教授，博士生导师</w:t>
      </w:r>
      <w:r>
        <w:rPr>
          <w:rFonts w:hint="eastAsia" w:ascii="Times New Roman" w:hAnsi="Times New Roman" w:eastAsia="仿宋_GB2312"/>
          <w:sz w:val="32"/>
          <w:szCs w:val="20"/>
          <w:lang w:eastAsia="zh-CN"/>
        </w:rPr>
        <w:t>。</w:t>
      </w:r>
      <w:r>
        <w:rPr>
          <w:rFonts w:hint="eastAsia" w:ascii="Times New Roman" w:hAnsi="Times New Roman" w:eastAsia="仿宋_GB2312"/>
          <w:sz w:val="32"/>
          <w:szCs w:val="20"/>
        </w:rPr>
        <w:t>中国知识产权法学研究会常务理事、中国知识产权研究会理事</w:t>
      </w:r>
      <w:r>
        <w:rPr>
          <w:rFonts w:hint="eastAsia" w:ascii="Times New Roman" w:hAnsi="Times New Roman" w:eastAsia="仿宋_GB2312"/>
          <w:sz w:val="32"/>
          <w:szCs w:val="20"/>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jc w:val="both"/>
        <w:textAlignment w:val="auto"/>
        <w:rPr>
          <w:rFonts w:hint="eastAsia" w:ascii="黑体" w:hAnsi="黑体" w:eastAsia="黑体" w:cs="黑体"/>
          <w:b w:val="0"/>
          <w:bCs w:val="0"/>
          <w:sz w:val="32"/>
        </w:rPr>
      </w:pPr>
      <w:r>
        <w:rPr>
          <w:rFonts w:hint="eastAsia" w:ascii="黑体" w:hAnsi="黑体" w:eastAsia="黑体" w:cs="黑体"/>
          <w:b w:val="0"/>
          <w:bCs w:val="0"/>
          <w:sz w:val="32"/>
          <w:lang w:val="en-US" w:eastAsia="zh-CN"/>
        </w:rPr>
        <w:t>七、</w:t>
      </w:r>
      <w:r>
        <w:rPr>
          <w:rFonts w:hint="eastAsia" w:ascii="黑体" w:hAnsi="黑体" w:eastAsia="黑体" w:cs="黑体"/>
          <w:b w:val="0"/>
          <w:bCs w:val="0"/>
          <w:sz w:val="32"/>
        </w:rPr>
        <w:t>李</w:t>
      </w:r>
      <w:r>
        <w:rPr>
          <w:rFonts w:hint="eastAsia" w:ascii="黑体" w:hAnsi="黑体" w:eastAsia="黑体" w:cs="黑体"/>
          <w:b w:val="0"/>
          <w:bCs w:val="0"/>
          <w:sz w:val="32"/>
          <w:lang w:val="en-US" w:eastAsia="zh-CN"/>
        </w:rPr>
        <w:t xml:space="preserve">  </w:t>
      </w:r>
      <w:r>
        <w:rPr>
          <w:rFonts w:hint="eastAsia" w:ascii="黑体" w:hAnsi="黑体" w:eastAsia="黑体" w:cs="黑体"/>
          <w:b w:val="0"/>
          <w:bCs w:val="0"/>
          <w:sz w:val="32"/>
        </w:rPr>
        <w:t>琛</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Times New Roman" w:hAnsi="Times New Roman" w:eastAsia="仿宋_GB2312"/>
          <w:sz w:val="32"/>
          <w:szCs w:val="20"/>
          <w:lang w:eastAsia="zh-CN"/>
        </w:rPr>
      </w:pPr>
      <w:r>
        <w:rPr>
          <w:rFonts w:hint="eastAsia" w:ascii="Times New Roman" w:hAnsi="Times New Roman" w:eastAsia="仿宋_GB2312"/>
          <w:sz w:val="32"/>
          <w:szCs w:val="20"/>
        </w:rPr>
        <w:t>教授，法学博士，博士研究生导师,联合国教科文组织版权与邻接权教席主持人</w:t>
      </w:r>
      <w:r>
        <w:rPr>
          <w:rFonts w:hint="eastAsia" w:ascii="Times New Roman" w:hAnsi="Times New Roman" w:eastAsia="仿宋_GB2312"/>
          <w:sz w:val="32"/>
          <w:szCs w:val="20"/>
          <w:lang w:eastAsia="zh-CN"/>
        </w:rPr>
        <w:t>、</w:t>
      </w:r>
      <w:r>
        <w:rPr>
          <w:rFonts w:hint="eastAsia" w:ascii="Times New Roman" w:hAnsi="Times New Roman" w:eastAsia="仿宋_GB2312"/>
          <w:sz w:val="32"/>
          <w:szCs w:val="20"/>
        </w:rPr>
        <w:t>中国知识产权法学研究会常务理事</w:t>
      </w:r>
      <w:r>
        <w:rPr>
          <w:rFonts w:hint="eastAsia" w:ascii="Times New Roman" w:hAnsi="Times New Roman" w:eastAsia="仿宋_GB2312"/>
          <w:sz w:val="32"/>
          <w:szCs w:val="20"/>
          <w:lang w:eastAsia="zh-CN"/>
        </w:rPr>
        <w:t>、</w:t>
      </w:r>
      <w:r>
        <w:rPr>
          <w:rFonts w:hint="eastAsia" w:ascii="Times New Roman" w:hAnsi="Times New Roman" w:eastAsia="仿宋_GB2312"/>
          <w:sz w:val="32"/>
          <w:szCs w:val="20"/>
        </w:rPr>
        <w:t>最高人民检察院民事行政诉讼监督案件专家委员会委员</w:t>
      </w:r>
      <w:r>
        <w:rPr>
          <w:rFonts w:hint="eastAsia" w:ascii="Times New Roman" w:hAnsi="Times New Roman" w:eastAsia="仿宋_GB2312"/>
          <w:sz w:val="32"/>
          <w:szCs w:val="20"/>
          <w:lang w:eastAsia="zh-CN"/>
        </w:rPr>
        <w:t>、</w:t>
      </w:r>
      <w:r>
        <w:rPr>
          <w:rFonts w:hint="eastAsia" w:ascii="Times New Roman" w:hAnsi="Times New Roman" w:eastAsia="仿宋_GB2312"/>
          <w:sz w:val="32"/>
          <w:szCs w:val="20"/>
        </w:rPr>
        <w:t>北京市人民检察院听证员</w:t>
      </w:r>
      <w:r>
        <w:rPr>
          <w:rFonts w:hint="eastAsia" w:ascii="Times New Roman" w:hAnsi="Times New Roman" w:eastAsia="仿宋_GB2312"/>
          <w:sz w:val="32"/>
          <w:szCs w:val="20"/>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jc w:val="both"/>
        <w:textAlignment w:val="auto"/>
        <w:rPr>
          <w:rFonts w:hint="default"/>
          <w:lang w:val="en-US" w:eastAsia="zh-CN"/>
        </w:rPr>
      </w:pPr>
      <w:r>
        <w:rPr>
          <w:rFonts w:hint="eastAsia" w:ascii="黑体" w:hAnsi="黑体" w:eastAsia="黑体" w:cs="黑体"/>
          <w:b w:val="0"/>
          <w:bCs w:val="0"/>
          <w:sz w:val="32"/>
          <w:lang w:val="en-US" w:eastAsia="zh-CN"/>
        </w:rPr>
        <w:t>八、张广良</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jc w:val="both"/>
        <w:textAlignment w:val="auto"/>
        <w:rPr>
          <w:rFonts w:hint="eastAsia" w:eastAsia="仿宋_GB2312"/>
          <w:szCs w:val="20"/>
          <w:lang w:val="en-US" w:eastAsia="zh-CN"/>
        </w:rPr>
      </w:pPr>
      <w:r>
        <w:rPr>
          <w:rFonts w:hint="eastAsia" w:eastAsia="仿宋_GB2312"/>
          <w:szCs w:val="20"/>
          <w:lang w:val="en-US" w:eastAsia="zh-CN"/>
        </w:rPr>
        <w:t>教授、法学博士、博士生导师、中国人民大学国际知识产权研究中心主任、研究员。美国约翰∙马歇尔法学院兼职教授。 国家知识产权局知识产权发展研究中心客座研究员、 中国知识产权法学研究会副秘书长。</w:t>
      </w:r>
    </w:p>
    <w:p>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jc w:val="both"/>
        <w:textAlignment w:val="auto"/>
        <w:rPr>
          <w:rFonts w:hint="eastAsia" w:ascii="黑体" w:hAnsi="黑体" w:eastAsia="黑体" w:cs="黑体"/>
          <w:lang w:val="en-US" w:eastAsia="zh-CN"/>
        </w:rPr>
      </w:pPr>
      <w:r>
        <w:rPr>
          <w:rFonts w:hint="eastAsia" w:ascii="黑体" w:hAnsi="黑体" w:eastAsia="黑体" w:cs="黑体"/>
          <w:lang w:val="en-US" w:eastAsia="zh-CN"/>
        </w:rPr>
        <w:t>九、万  勇</w:t>
      </w:r>
    </w:p>
    <w:p>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jc w:val="both"/>
        <w:textAlignment w:val="auto"/>
        <w:rPr>
          <w:rFonts w:hint="eastAsia"/>
          <w:lang w:val="en-US" w:eastAsia="zh-CN"/>
        </w:rPr>
      </w:pPr>
      <w:r>
        <w:rPr>
          <w:rFonts w:hint="eastAsia" w:eastAsia="仿宋_GB2312"/>
          <w:lang w:val="en-US" w:eastAsia="zh-CN"/>
        </w:rPr>
        <w:t>中国人民大学法学院教授、博士研究生导师。最高人民检察院知识产权检察研究基地副主任、北京市法学会法律谈判研究会副会长、国家版权局国际版权研究基地研究员、最高人民法院知识产权案例指导研究（北京）基地专家咨询委员会专家，上海服务外包知识产权保护联盟秘书长。</w:t>
      </w:r>
    </w:p>
    <w:p>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jc w:val="both"/>
        <w:textAlignment w:val="auto"/>
        <w:rPr>
          <w:rFonts w:hint="eastAsia" w:ascii="黑体" w:hAnsi="黑体" w:eastAsia="黑体" w:cs="黑体"/>
          <w:lang w:val="en-US" w:eastAsia="zh-CN"/>
        </w:rPr>
      </w:pPr>
      <w:r>
        <w:rPr>
          <w:rFonts w:hint="eastAsia" w:ascii="黑体" w:hAnsi="黑体" w:eastAsia="黑体" w:cs="黑体"/>
          <w:lang w:val="en-US" w:eastAsia="zh-CN"/>
        </w:rPr>
        <w:t>十、张吉豫</w:t>
      </w:r>
    </w:p>
    <w:p>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jc w:val="both"/>
        <w:textAlignment w:val="auto"/>
        <w:rPr>
          <w:rFonts w:hint="eastAsia"/>
          <w:lang w:val="en-US" w:eastAsia="zh-CN"/>
        </w:rPr>
      </w:pPr>
      <w:r>
        <w:rPr>
          <w:rFonts w:hint="eastAsia" w:eastAsia="仿宋_GB2312"/>
          <w:lang w:val="en-US" w:eastAsia="zh-CN"/>
        </w:rPr>
        <w:t>博士，中国人民大学法学院副教授、博士生导师，未来法治研究院执行院长、中国法学会网络与信息法学研究会常务副秘书长兼理事、中国法学会中国知识产权法学研究会理事、中国通信学会网络空间安全战略与法律委员会委员。</w:t>
      </w:r>
    </w:p>
    <w:p>
      <w:pPr>
        <w:spacing w:line="360" w:lineRule="auto"/>
        <w:ind w:firstLine="640" w:firstLineChars="200"/>
        <w:rPr>
          <w:rFonts w:hint="eastAsia" w:ascii="Times New Roman" w:hAnsi="Times New Roman" w:eastAsia="宋体" w:cs="楷体"/>
          <w:b/>
          <w:bCs/>
          <w:sz w:val="24"/>
          <w:szCs w:val="24"/>
          <w:lang w:val="en-US" w:eastAsia="zh-CN"/>
        </w:rPr>
      </w:pPr>
      <w:r>
        <w:rPr>
          <w:rFonts w:hint="eastAsia" w:ascii="黑体" w:hAnsi="黑体" w:eastAsia="黑体" w:cs="黑体"/>
          <w:b w:val="0"/>
          <w:bCs w:val="0"/>
          <w:sz w:val="32"/>
          <w:szCs w:val="20"/>
          <w:lang w:val="en-US" w:eastAsia="zh-CN"/>
        </w:rPr>
        <w:t>十一、姚欢庆</w:t>
      </w:r>
    </w:p>
    <w:p>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jc w:val="both"/>
        <w:textAlignment w:val="auto"/>
        <w:rPr>
          <w:rFonts w:hint="eastAsia" w:eastAsia="仿宋_GB2312"/>
          <w:lang w:val="en-US" w:eastAsia="zh-CN"/>
        </w:rPr>
      </w:pPr>
      <w:r>
        <w:rPr>
          <w:rFonts w:hint="eastAsia" w:eastAsia="仿宋_GB2312"/>
          <w:lang w:val="en-US" w:eastAsia="zh-CN"/>
        </w:rPr>
        <w:t>中国人民大学法学院副教授、硕士生导师。教育部人文社会科学研究基地－中国人民大学民商事法律科学研究中心副主任，中国人民大学民商事法律科学研究中心专职研究员，中国民商法律网负责人，兼任浙江绍兴市仲裁委员会仲裁员和《中国审判案例要览》（民法卷）主编助理。</w:t>
      </w:r>
    </w:p>
    <w:p>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jc w:val="both"/>
        <w:textAlignment w:val="auto"/>
        <w:rPr>
          <w:rFonts w:hint="eastAsia" w:ascii="黑体" w:hAnsi="黑体" w:eastAsia="黑体" w:cs="黑体"/>
          <w:lang w:val="en-US" w:eastAsia="zh-CN"/>
        </w:rPr>
      </w:pPr>
      <w:r>
        <w:rPr>
          <w:rFonts w:hint="eastAsia" w:ascii="黑体" w:hAnsi="黑体" w:eastAsia="黑体" w:cs="黑体"/>
          <w:lang w:val="en-US" w:eastAsia="zh-CN"/>
        </w:rPr>
        <w:t>十二、桂  佳</w:t>
      </w:r>
    </w:p>
    <w:p>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jc w:val="both"/>
        <w:textAlignment w:val="auto"/>
        <w:rPr>
          <w:rFonts w:hint="eastAsia" w:eastAsia="仿宋_GB2312"/>
          <w:lang w:val="en-US" w:eastAsia="zh-CN"/>
        </w:rPr>
      </w:pPr>
      <w:r>
        <w:rPr>
          <w:rFonts w:hint="eastAsia" w:eastAsia="仿宋_GB2312"/>
          <w:lang w:val="en-US" w:eastAsia="zh-CN"/>
        </w:rPr>
        <w:t>环球律师事务所律师。获美国联邦最高法院出庭资格、联合国世界知识产权组织仲裁员、首位以中国法律专家证人参加美国联邦法院知识产权诉讼的中国律师。曾任最高人民法院知识产权案例指导研究（北京）基地专家自治管理委员会域外案例研究委员会主任。</w:t>
      </w:r>
    </w:p>
    <w:p>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jc w:val="both"/>
        <w:textAlignment w:val="auto"/>
        <w:rPr>
          <w:rFonts w:hint="eastAsia" w:ascii="黑体" w:hAnsi="黑体" w:eastAsia="黑体" w:cs="黑体"/>
          <w:lang w:val="en-US" w:eastAsia="zh-CN"/>
        </w:rPr>
      </w:pPr>
      <w:r>
        <w:rPr>
          <w:rFonts w:hint="eastAsia" w:ascii="黑体" w:hAnsi="黑体" w:eastAsia="黑体" w:cs="黑体"/>
          <w:lang w:val="en-US" w:eastAsia="zh-CN"/>
        </w:rPr>
        <w:t>十三、李  斌</w:t>
      </w:r>
    </w:p>
    <w:p>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jc w:val="both"/>
        <w:textAlignment w:val="auto"/>
        <w:rPr>
          <w:rFonts w:hint="eastAsia"/>
          <w:lang w:val="en-US" w:eastAsia="zh-CN"/>
        </w:rPr>
      </w:pPr>
      <w:r>
        <w:rPr>
          <w:rFonts w:hint="eastAsia" w:eastAsia="仿宋_GB2312"/>
          <w:lang w:val="en-US" w:eastAsia="zh-CN"/>
        </w:rPr>
        <w:t>万慧达律师事务所合伙人、管委会成员、国家海外知识产权纠纷应对指导中心第二批国家海外知识产权纠纷应对指导专家、中华商标协会标准化委员会委员、中华商标协会第三届商标代理分会学术委员会委员、北京市知识产权专家库专家。</w:t>
      </w:r>
    </w:p>
    <w:p>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jc w:val="both"/>
        <w:textAlignment w:val="auto"/>
        <w:rPr>
          <w:rFonts w:hint="eastAsia" w:ascii="黑体" w:hAnsi="黑体" w:eastAsia="黑体" w:cs="黑体"/>
          <w:lang w:val="en-US" w:eastAsia="zh-CN"/>
        </w:rPr>
      </w:pPr>
      <w:r>
        <w:rPr>
          <w:rFonts w:hint="eastAsia" w:ascii="黑体" w:hAnsi="黑体" w:eastAsia="黑体" w:cs="黑体"/>
          <w:lang w:val="en-US" w:eastAsia="zh-CN"/>
        </w:rPr>
        <w:t>十四、吴  立</w:t>
      </w:r>
    </w:p>
    <w:p>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jc w:val="both"/>
        <w:textAlignment w:val="auto"/>
        <w:rPr>
          <w:rFonts w:hint="eastAsia" w:eastAsia="仿宋_GB2312"/>
          <w:lang w:val="en-US" w:eastAsia="zh-CN"/>
        </w:rPr>
      </w:pPr>
      <w:r>
        <w:rPr>
          <w:rFonts w:hint="eastAsia" w:eastAsia="仿宋_GB2312"/>
          <w:lang w:val="en-US" w:eastAsia="zh-CN"/>
        </w:rPr>
        <w:t>北京市立方律师事务所高级合伙人，美国马萨诸塞州执业律师、美国专利商标局注册专利律师。</w:t>
      </w:r>
    </w:p>
    <w:p>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jc w:val="both"/>
        <w:textAlignment w:val="auto"/>
        <w:rPr>
          <w:rFonts w:hint="eastAsia" w:eastAsia="仿宋_GB231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Chars="0" w:firstLine="643" w:firstLineChars="200"/>
        <w:jc w:val="both"/>
        <w:textAlignment w:val="auto"/>
        <w:rPr>
          <w:rFonts w:ascii="宋体" w:hAnsi="宋体"/>
          <w:b/>
          <w:bCs/>
        </w:rPr>
      </w:pPr>
      <w:r>
        <w:rPr>
          <w:rFonts w:hint="eastAsia" w:ascii="宋体" w:hAnsi="宋体"/>
          <w:b/>
          <w:bCs/>
        </w:rPr>
        <w:br w:type="page"/>
      </w:r>
    </w:p>
    <w:p>
      <w:pPr>
        <w:pStyle w:val="5"/>
        <w:jc w:val="left"/>
        <w:rPr>
          <w:rFonts w:hint="eastAsia"/>
          <w:lang w:val="en-US" w:eastAsia="zh-CN"/>
        </w:rPr>
      </w:pPr>
    </w:p>
    <w:p>
      <w:pPr>
        <w:keepNext w:val="0"/>
        <w:keepLines w:val="0"/>
        <w:pageBreakBefore w:val="0"/>
        <w:widowControl/>
        <w:kinsoku/>
        <w:wordWrap/>
        <w:overflowPunct/>
        <w:topLinePunct w:val="0"/>
        <w:autoSpaceDE/>
        <w:autoSpaceDN/>
        <w:bidi w:val="0"/>
        <w:adjustRightInd/>
        <w:snapToGrid/>
        <w:spacing w:line="560" w:lineRule="exact"/>
        <w:ind w:right="0" w:rightChars="0" w:firstLine="0" w:firstLineChars="0"/>
        <w:jc w:val="left"/>
        <w:textAlignment w:val="auto"/>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 xml:space="preserve">附件3 </w:t>
      </w:r>
    </w:p>
    <w:p>
      <w:pPr>
        <w:pStyle w:val="4"/>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参训承诺书</w:t>
      </w:r>
    </w:p>
    <w:p>
      <w:pPr>
        <w:spacing w:line="560" w:lineRule="exact"/>
        <w:ind w:firstLine="630"/>
        <w:rPr>
          <w:rFonts w:ascii="FangSong_GB2312" w:hAnsi="FangSong_GB2312" w:cs="FangSong_GB2312"/>
          <w:szCs w:val="32"/>
        </w:rPr>
      </w:pPr>
    </w:p>
    <w:p>
      <w:pPr>
        <w:spacing w:line="560" w:lineRule="exact"/>
        <w:ind w:firstLine="640" w:firstLineChars="200"/>
        <w:rPr>
          <w:rFonts w:hint="eastAsia" w:ascii="Times New Roman" w:hAnsi="Times New Roman" w:eastAsia="仿宋_GB2312" w:cs="Times New Roman"/>
          <w:szCs w:val="20"/>
        </w:rPr>
      </w:pPr>
      <w:r>
        <w:rPr>
          <w:rFonts w:hint="eastAsia" w:ascii="Times New Roman" w:hAnsi="Times New Roman" w:eastAsia="仿宋_GB2312" w:cs="Times New Roman"/>
          <w:szCs w:val="20"/>
        </w:rPr>
        <w:t>本人自愿</w:t>
      </w:r>
      <w:r>
        <w:rPr>
          <w:rFonts w:hint="eastAsia" w:ascii="Times New Roman" w:hAnsi="Times New Roman" w:eastAsia="仿宋_GB2312" w:cs="Times New Roman"/>
          <w:szCs w:val="20"/>
          <w:lang w:val="en-US" w:eastAsia="zh-CN"/>
        </w:rPr>
        <w:t>参加</w:t>
      </w:r>
      <w:r>
        <w:rPr>
          <w:rFonts w:hint="eastAsia" w:ascii="Times New Roman" w:hAnsi="Times New Roman" w:eastAsia="仿宋_GB2312" w:cs="Times New Roman"/>
          <w:szCs w:val="20"/>
        </w:rPr>
        <w:t>广东省涉外律师人才研修班（涉外知识产权与信息安全专题研修班</w:t>
      </w:r>
      <w:r>
        <w:rPr>
          <w:rFonts w:hint="eastAsia" w:ascii="Times New Roman" w:hAnsi="Times New Roman" w:eastAsia="仿宋_GB2312" w:cs="Times New Roman"/>
          <w:szCs w:val="20"/>
          <w:lang w:val="en-US" w:eastAsia="zh-CN"/>
        </w:rPr>
        <w:t>②</w:t>
      </w:r>
      <w:r>
        <w:rPr>
          <w:rFonts w:hint="eastAsia" w:ascii="Times New Roman" w:hAnsi="Times New Roman" w:eastAsia="仿宋_GB2312" w:cs="Times New Roman"/>
          <w:szCs w:val="20"/>
        </w:rPr>
        <w:t>），并承诺：</w:t>
      </w:r>
    </w:p>
    <w:p>
      <w:pPr>
        <w:spacing w:line="560" w:lineRule="exact"/>
        <w:ind w:firstLine="640" w:firstLineChars="200"/>
        <w:rPr>
          <w:rFonts w:hint="eastAsia" w:ascii="Times New Roman" w:hAnsi="Times New Roman" w:eastAsia="仿宋_GB2312" w:cs="Times New Roman"/>
          <w:szCs w:val="20"/>
        </w:rPr>
      </w:pPr>
      <w:r>
        <w:rPr>
          <w:rFonts w:hint="eastAsia" w:ascii="Times New Roman" w:hAnsi="Times New Roman" w:eastAsia="仿宋_GB2312" w:cs="Times New Roman"/>
          <w:szCs w:val="20"/>
        </w:rPr>
        <w:t>1.严守党和国家的政治纪律和政治规矩;</w:t>
      </w:r>
    </w:p>
    <w:p>
      <w:pPr>
        <w:spacing w:line="560" w:lineRule="exact"/>
        <w:ind w:firstLine="640" w:firstLineChars="200"/>
        <w:rPr>
          <w:rFonts w:hint="eastAsia" w:ascii="Times New Roman" w:hAnsi="Times New Roman" w:eastAsia="仿宋_GB2312" w:cs="Times New Roman"/>
          <w:szCs w:val="20"/>
        </w:rPr>
      </w:pPr>
      <w:r>
        <w:rPr>
          <w:rFonts w:hint="eastAsia" w:ascii="Times New Roman" w:hAnsi="Times New Roman" w:eastAsia="仿宋_GB2312" w:cs="Times New Roman"/>
          <w:szCs w:val="20"/>
        </w:rPr>
        <w:t>2.自觉遵守学员手册、考勤制度等培训要求，严守培训纪律，并知悉如报名入选后退出或者培训中途退出，律师个人承担的费用将不予退回且不能再参与省律协今年举办的培训活动;</w:t>
      </w:r>
    </w:p>
    <w:p>
      <w:pPr>
        <w:spacing w:line="560" w:lineRule="exact"/>
        <w:ind w:firstLine="640" w:firstLineChars="200"/>
        <w:rPr>
          <w:rFonts w:hint="eastAsia" w:ascii="Times New Roman" w:hAnsi="Times New Roman" w:eastAsia="仿宋_GB2312" w:cs="Times New Roman"/>
          <w:szCs w:val="20"/>
        </w:rPr>
      </w:pPr>
      <w:r>
        <w:rPr>
          <w:rFonts w:hint="eastAsia" w:ascii="Times New Roman" w:hAnsi="Times New Roman" w:eastAsia="仿宋_GB2312" w:cs="Times New Roman"/>
          <w:szCs w:val="20"/>
        </w:rPr>
        <w:t>3.本人身体健康，确保能全程参与培训。</w:t>
      </w:r>
    </w:p>
    <w:p>
      <w:pPr>
        <w:spacing w:line="560" w:lineRule="exact"/>
        <w:ind w:firstLine="630"/>
        <w:rPr>
          <w:rFonts w:ascii="FangSong_GB2312" w:hAnsi="FangSong_GB2312" w:cs="FangSong_GB2312"/>
          <w:szCs w:val="32"/>
        </w:rPr>
      </w:pPr>
    </w:p>
    <w:p>
      <w:pPr>
        <w:spacing w:line="560" w:lineRule="exact"/>
        <w:ind w:firstLine="630"/>
        <w:rPr>
          <w:rFonts w:ascii="FangSong_GB2312" w:hAnsi="FangSong_GB2312" w:cs="FangSong_GB2312"/>
          <w:szCs w:val="32"/>
        </w:rPr>
      </w:pPr>
      <w:r>
        <w:rPr>
          <w:rFonts w:hint="eastAsia" w:ascii="FangSong_GB2312" w:hAnsi="FangSong_GB2312" w:cs="FangSong_GB2312"/>
          <w:szCs w:val="32"/>
        </w:rPr>
        <w:t>特此承诺！</w:t>
      </w:r>
    </w:p>
    <w:p>
      <w:pPr>
        <w:spacing w:line="560" w:lineRule="exact"/>
        <w:ind w:firstLine="630"/>
        <w:rPr>
          <w:rFonts w:ascii="FangSong_GB2312" w:hAnsi="FangSong_GB2312" w:cs="FangSong_GB2312"/>
          <w:szCs w:val="32"/>
        </w:rPr>
      </w:pPr>
    </w:p>
    <w:p>
      <w:pPr>
        <w:spacing w:line="560" w:lineRule="exact"/>
        <w:ind w:firstLine="3827" w:firstLineChars="1196"/>
        <w:rPr>
          <w:rFonts w:ascii="FangSong_GB2312" w:hAnsi="FangSong_GB2312" w:cs="FangSong_GB2312"/>
          <w:szCs w:val="32"/>
          <w:u w:val="single"/>
        </w:rPr>
      </w:pPr>
      <w:r>
        <w:rPr>
          <w:rFonts w:hint="eastAsia" w:ascii="FangSong_GB2312" w:hAnsi="FangSong_GB2312" w:cs="FangSong_GB2312"/>
          <w:szCs w:val="32"/>
        </w:rPr>
        <w:t>承诺人签名：</w:t>
      </w:r>
      <w:r>
        <w:rPr>
          <w:rFonts w:hint="eastAsia" w:ascii="FangSong_GB2312" w:hAnsi="FangSong_GB2312" w:cs="FangSong_GB2312"/>
          <w:szCs w:val="32"/>
          <w:u w:val="single"/>
        </w:rPr>
        <w:t xml:space="preserve">                   </w:t>
      </w:r>
    </w:p>
    <w:p>
      <w:pPr>
        <w:spacing w:line="560" w:lineRule="exact"/>
        <w:ind w:firstLine="3827" w:firstLineChars="1196"/>
        <w:rPr>
          <w:rFonts w:ascii="FangSong_GB2312" w:hAnsi="FangSong_GB2312" w:cs="FangSong_GB2312"/>
          <w:szCs w:val="32"/>
          <w:u w:val="single"/>
        </w:rPr>
      </w:pPr>
      <w:r>
        <w:rPr>
          <w:rFonts w:hint="eastAsia" w:ascii="FangSong_GB2312" w:hAnsi="FangSong_GB2312" w:cs="FangSong_GB2312"/>
          <w:szCs w:val="32"/>
        </w:rPr>
        <w:t>日期：</w:t>
      </w:r>
      <w:r>
        <w:rPr>
          <w:rFonts w:hint="eastAsia" w:ascii="FangSong_GB2312" w:hAnsi="FangSong_GB2312" w:cs="FangSong_GB2312"/>
          <w:szCs w:val="32"/>
          <w:u w:val="single"/>
        </w:rPr>
        <w:t xml:space="preserve">                         </w:t>
      </w:r>
    </w:p>
    <w:p>
      <w:pPr>
        <w:spacing w:line="560" w:lineRule="exact"/>
        <w:ind w:firstLine="630"/>
        <w:rPr>
          <w:rFonts w:ascii="FangSong_GB2312" w:hAnsi="FangSong_GB2312" w:cs="FangSong_GB2312"/>
          <w:szCs w:val="32"/>
        </w:rPr>
      </w:pPr>
    </w:p>
    <w:p>
      <w:r>
        <w:br w:type="page"/>
      </w:r>
    </w:p>
    <w:p>
      <w:pPr>
        <w:pStyle w:val="4"/>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17"/>
        <w:gridCol w:w="4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8834" w:type="dxa"/>
            <w:gridSpan w:val="2"/>
            <w:tcBorders>
              <w:top w:val="single" w:color="auto" w:sz="4" w:space="0"/>
              <w:left w:val="nil"/>
              <w:bottom w:val="single" w:color="auto" w:sz="4" w:space="0"/>
              <w:right w:val="nil"/>
            </w:tcBorders>
            <w:noWrap w:val="0"/>
            <w:vAlign w:val="bottom"/>
          </w:tcPr>
          <w:p>
            <w:pPr>
              <w:spacing w:line="520" w:lineRule="exact"/>
              <w:ind w:left="1160" w:leftChars="100" w:hanging="840" w:hangingChars="300"/>
              <w:jc w:val="both"/>
              <w:rPr>
                <w:rStyle w:val="11"/>
                <w:rFonts w:ascii="仿宋_GB2312" w:hAnsi="仿宋" w:eastAsia="仿宋_GB2312"/>
                <w:color w:val="auto"/>
                <w:kern w:val="0"/>
                <w:sz w:val="28"/>
                <w:szCs w:val="28"/>
                <w:u w:val="none"/>
              </w:rPr>
            </w:pPr>
            <w:r>
              <w:rPr>
                <w:rStyle w:val="11"/>
                <w:rFonts w:hint="eastAsia" w:ascii="仿宋_GB2312" w:hAnsi="仿宋" w:eastAsia="仿宋_GB2312"/>
                <w:color w:val="auto"/>
                <w:kern w:val="0"/>
                <w:sz w:val="28"/>
                <w:szCs w:val="28"/>
                <w:u w:val="none"/>
              </w:rPr>
              <w:t>抄送：省司法厅</w:t>
            </w:r>
            <w:r>
              <w:rPr>
                <w:rStyle w:val="11"/>
                <w:rFonts w:hint="eastAsia" w:ascii="仿宋_GB2312" w:hAnsi="仿宋" w:eastAsia="仿宋_GB2312"/>
                <w:color w:val="auto"/>
                <w:kern w:val="0"/>
                <w:sz w:val="28"/>
                <w:szCs w:val="28"/>
                <w:u w:val="none"/>
                <w:lang w:val="en-US" w:eastAsia="zh-CN"/>
              </w:rPr>
              <w:t>林楚明副厅长</w:t>
            </w:r>
            <w:r>
              <w:rPr>
                <w:rStyle w:val="11"/>
                <w:rFonts w:hint="eastAsia" w:ascii="仿宋_GB2312" w:hAnsi="仿宋" w:eastAsia="仿宋_GB2312"/>
                <w:color w:val="auto"/>
                <w:kern w:val="0"/>
                <w:sz w:val="28"/>
                <w:szCs w:val="28"/>
                <w:u w:val="none"/>
              </w:rPr>
              <w:t>，省律师行业党委金世章专职副书记，会长、副会长，</w:t>
            </w:r>
            <w:r>
              <w:rPr>
                <w:rStyle w:val="11"/>
                <w:rFonts w:hint="eastAsia" w:ascii="仿宋_GB2312" w:hAnsi="仿宋" w:eastAsia="仿宋_GB2312"/>
                <w:color w:val="auto"/>
                <w:kern w:val="0"/>
                <w:sz w:val="28"/>
                <w:szCs w:val="28"/>
                <w:u w:val="none"/>
                <w:lang w:val="en-US" w:eastAsia="zh-CN"/>
              </w:rPr>
              <w:t>监事长、副监事长，</w:t>
            </w:r>
            <w:r>
              <w:rPr>
                <w:rStyle w:val="11"/>
                <w:rFonts w:hint="eastAsia" w:ascii="仿宋_GB2312" w:hAnsi="仿宋" w:eastAsia="仿宋_GB2312"/>
                <w:color w:val="auto"/>
                <w:kern w:val="0"/>
                <w:sz w:val="28"/>
                <w:szCs w:val="28"/>
                <w:u w:val="none"/>
              </w:rPr>
              <w:t>厅律管处。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4417" w:type="dxa"/>
            <w:tcBorders>
              <w:top w:val="single" w:color="auto" w:sz="4" w:space="0"/>
              <w:left w:val="nil"/>
              <w:bottom w:val="single" w:color="auto" w:sz="4" w:space="0"/>
              <w:right w:val="nil"/>
            </w:tcBorders>
            <w:noWrap w:val="0"/>
            <w:vAlign w:val="top"/>
          </w:tcPr>
          <w:p>
            <w:pPr>
              <w:spacing w:line="520" w:lineRule="exact"/>
              <w:ind w:firstLine="280" w:firstLineChars="100"/>
              <w:jc w:val="both"/>
              <w:rPr>
                <w:rStyle w:val="11"/>
                <w:rFonts w:ascii="仿宋_GB2312" w:eastAsia="仿宋_GB2312"/>
                <w:color w:val="auto"/>
                <w:kern w:val="0"/>
                <w:sz w:val="28"/>
                <w:szCs w:val="28"/>
                <w:u w:val="none"/>
              </w:rPr>
            </w:pPr>
            <w:r>
              <w:rPr>
                <w:rStyle w:val="11"/>
                <w:rFonts w:hint="eastAsia" w:ascii="仿宋_GB2312" w:eastAsia="仿宋_GB2312"/>
                <w:color w:val="auto"/>
                <w:kern w:val="0"/>
                <w:sz w:val="28"/>
                <w:szCs w:val="28"/>
                <w:u w:val="none"/>
              </w:rPr>
              <w:t>广东省律师协会秘书处</w:t>
            </w:r>
          </w:p>
        </w:tc>
        <w:tc>
          <w:tcPr>
            <w:tcW w:w="4417" w:type="dxa"/>
            <w:tcBorders>
              <w:top w:val="single" w:color="auto" w:sz="4" w:space="0"/>
              <w:left w:val="nil"/>
              <w:bottom w:val="single" w:color="auto" w:sz="4" w:space="0"/>
              <w:right w:val="nil"/>
            </w:tcBorders>
            <w:noWrap w:val="0"/>
            <w:vAlign w:val="top"/>
          </w:tcPr>
          <w:p>
            <w:pPr>
              <w:spacing w:line="520" w:lineRule="exact"/>
              <w:ind w:right="320"/>
              <w:jc w:val="right"/>
              <w:rPr>
                <w:rStyle w:val="11"/>
                <w:rFonts w:ascii="仿宋_GB2312" w:eastAsia="仿宋_GB2312"/>
                <w:color w:val="auto"/>
                <w:kern w:val="0"/>
                <w:sz w:val="28"/>
                <w:szCs w:val="28"/>
                <w:u w:val="none"/>
              </w:rPr>
            </w:pPr>
            <w:r>
              <w:rPr>
                <w:rStyle w:val="11"/>
                <w:rFonts w:hint="eastAsia" w:ascii="仿宋_GB2312" w:eastAsia="仿宋_GB2312"/>
                <w:color w:val="auto"/>
                <w:kern w:val="0"/>
                <w:sz w:val="28"/>
                <w:szCs w:val="28"/>
                <w:u w:val="none"/>
                <w:lang w:val="en-US" w:eastAsia="zh-CN"/>
              </w:rPr>
              <w:t>2024</w:t>
            </w:r>
            <w:r>
              <w:rPr>
                <w:rStyle w:val="11"/>
                <w:rFonts w:hint="eastAsia" w:ascii="仿宋_GB2312" w:eastAsia="仿宋_GB2312"/>
                <w:color w:val="auto"/>
                <w:kern w:val="0"/>
                <w:sz w:val="28"/>
                <w:szCs w:val="28"/>
                <w:u w:val="none"/>
              </w:rPr>
              <w:t>年</w:t>
            </w:r>
            <w:r>
              <w:rPr>
                <w:rStyle w:val="11"/>
                <w:rFonts w:hint="eastAsia" w:ascii="仿宋_GB2312" w:eastAsia="仿宋_GB2312"/>
                <w:color w:val="auto"/>
                <w:kern w:val="0"/>
                <w:sz w:val="28"/>
                <w:szCs w:val="28"/>
                <w:u w:val="none"/>
                <w:lang w:val="en-US" w:eastAsia="zh-CN"/>
              </w:rPr>
              <w:t>3</w:t>
            </w:r>
            <w:r>
              <w:rPr>
                <w:rStyle w:val="11"/>
                <w:rFonts w:hint="eastAsia" w:ascii="仿宋_GB2312" w:eastAsia="仿宋_GB2312"/>
                <w:color w:val="auto"/>
                <w:kern w:val="0"/>
                <w:sz w:val="28"/>
                <w:szCs w:val="28"/>
                <w:u w:val="none"/>
              </w:rPr>
              <w:t>月</w:t>
            </w:r>
            <w:r>
              <w:rPr>
                <w:rStyle w:val="11"/>
                <w:rFonts w:hint="eastAsia" w:ascii="仿宋_GB2312" w:eastAsia="仿宋_GB2312"/>
                <w:color w:val="auto"/>
                <w:kern w:val="0"/>
                <w:sz w:val="28"/>
                <w:szCs w:val="28"/>
                <w:u w:val="none"/>
                <w:lang w:val="en-US" w:eastAsia="zh-CN"/>
              </w:rPr>
              <w:t>20</w:t>
            </w:r>
            <w:r>
              <w:rPr>
                <w:rStyle w:val="11"/>
                <w:rFonts w:hint="eastAsia" w:ascii="仿宋_GB2312" w:eastAsia="仿宋_GB2312"/>
                <w:color w:val="auto"/>
                <w:kern w:val="0"/>
                <w:sz w:val="28"/>
                <w:szCs w:val="28"/>
                <w:u w:val="none"/>
              </w:rPr>
              <w:t>日印发</w:t>
            </w:r>
          </w:p>
        </w:tc>
      </w:tr>
    </w:tbl>
    <w:p>
      <w:pPr>
        <w:bidi w:val="0"/>
        <w:ind w:firstLine="256" w:firstLineChars="0"/>
        <w:jc w:val="left"/>
      </w:pPr>
    </w:p>
    <w:sectPr>
      <w:footerReference r:id="rId3" w:type="default"/>
      <w:footerReference r:id="rId4" w:type="even"/>
      <w:pgSz w:w="11906" w:h="16838"/>
      <w:pgMar w:top="2098" w:right="1474" w:bottom="1984" w:left="1587" w:header="851" w:footer="1587"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FangSong_GB2312">
    <w:altName w:val="仿宋_GB2312"/>
    <w:panose1 w:val="020B0604020202020204"/>
    <w:charset w:val="86"/>
    <w:family w:val="auto"/>
    <w:pitch w:val="default"/>
    <w:sig w:usb0="00000000" w:usb1="0000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KaiTi_GB2312">
    <w:altName w:val="楷体"/>
    <w:panose1 w:val="020B0604020202020204"/>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ind w:right="640" w:rightChars="200"/>
                            <w:rPr>
                              <w:rFonts w:hint="eastAsia"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NTVs2AVAgAAEwQAAA4AAAAAAAAA&#10;AQAgAAAAHwEAAGRycy9lMm9Eb2MueG1sUEsFBgAAAAAGAAYAWQEAAKYFAAAAAA==&#10;">
              <v:fill on="f" focussize="0,0"/>
              <v:stroke on="f" weight="0.5pt"/>
              <v:imagedata o:title=""/>
              <o:lock v:ext="edit" aspectratio="f"/>
              <v:textbox inset="0mm,0mm,0mm,0mm" style="mso-fit-shape-to-text:t;">
                <w:txbxContent>
                  <w:p>
                    <w:pPr>
                      <w:pStyle w:val="6"/>
                      <w:ind w:right="640" w:rightChars="200"/>
                      <w:rPr>
                        <w:rFonts w:hint="eastAsia"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ind w:left="640" w:leftChars="200"/>
                            <w:rPr>
                              <w:rFonts w:hint="eastAsia"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2</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6"/>
                      <w:ind w:left="640" w:leftChars="200"/>
                      <w:rPr>
                        <w:rFonts w:hint="eastAsia"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2</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5208D8"/>
    <w:rsid w:val="040F0DD3"/>
    <w:rsid w:val="077543B0"/>
    <w:rsid w:val="1F8C5331"/>
    <w:rsid w:val="2697353C"/>
    <w:rsid w:val="2706407E"/>
    <w:rsid w:val="2F81774C"/>
    <w:rsid w:val="316135CE"/>
    <w:rsid w:val="430459FE"/>
    <w:rsid w:val="4D431C98"/>
    <w:rsid w:val="4D5208D8"/>
    <w:rsid w:val="5E13116E"/>
    <w:rsid w:val="63384CE6"/>
    <w:rsid w:val="6C1C7287"/>
    <w:rsid w:val="6E4B029A"/>
    <w:rsid w:val="6EF70115"/>
    <w:rsid w:val="7385174B"/>
    <w:rsid w:val="776B17DE"/>
    <w:rsid w:val="FA57616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FangSong_GB2312" w:cs="Times New Roman"/>
      <w:kern w:val="2"/>
      <w:sz w:val="32"/>
      <w:lang w:val="en-US" w:eastAsia="zh-CN" w:bidi="ar-SA"/>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3"/>
    <w:unhideWhenUsed/>
    <w:qFormat/>
    <w:uiPriority w:val="99"/>
    <w:pPr>
      <w:ind w:firstLine="420" w:firstLineChars="200"/>
    </w:pPr>
  </w:style>
  <w:style w:type="paragraph" w:styleId="3">
    <w:name w:val="Body Text Indent"/>
    <w:basedOn w:val="1"/>
    <w:unhideWhenUsed/>
    <w:qFormat/>
    <w:uiPriority w:val="99"/>
    <w:pPr>
      <w:spacing w:after="120"/>
      <w:ind w:left="420" w:leftChars="200"/>
    </w:pPr>
  </w:style>
  <w:style w:type="paragraph" w:styleId="4">
    <w:name w:val="Body Text"/>
    <w:basedOn w:val="1"/>
    <w:next w:val="5"/>
    <w:qFormat/>
    <w:uiPriority w:val="0"/>
    <w:rPr>
      <w:szCs w:val="24"/>
    </w:rPr>
  </w:style>
  <w:style w:type="paragraph" w:styleId="5">
    <w:name w:val="toc 5"/>
    <w:basedOn w:val="1"/>
    <w:next w:val="1"/>
    <w:qFormat/>
    <w:uiPriority w:val="0"/>
    <w:pPr>
      <w:widowControl w:val="0"/>
      <w:ind w:left="1680" w:leftChars="800"/>
      <w:jc w:val="both"/>
    </w:pPr>
    <w:rPr>
      <w:rFonts w:ascii="Times New Roman" w:hAnsi="Times New Roman" w:eastAsia="宋体" w:cs="Times New Roman"/>
      <w:kern w:val="2"/>
      <w:sz w:val="21"/>
      <w:szCs w:val="22"/>
      <w:lang w:val="en-US" w:eastAsia="zh-CN" w:bidi="ar-SA"/>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Hyperlink"/>
    <w:basedOn w:val="10"/>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Pages>
  <Words>0</Words>
  <Characters>0</Characters>
  <Lines>0</Lines>
  <Paragraphs>0</Paragraphs>
  <TotalTime>17</TotalTime>
  <ScaleCrop>false</ScaleCrop>
  <LinksUpToDate>false</LinksUpToDate>
  <CharactersWithSpaces>0</CharactersWithSpaces>
  <Application>WPS Office_11.8.2.9067_F1E327BC-269C-435d-A152-05C5408002CA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2024-03-11T16:37:00Z</dcterms:created>
  <dc:creator>屈江慧</dc:creator>
  <cp:lastModifiedBy>屈江慧</cp:lastModifiedBy>
  <cp:lastPrinted>2024-03-20T01:16:57Z</cp:lastPrinted>
  <dcterms:modified xsi:type="dcterms:W3CDTF">2024-03-20T01:27:31Z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2052-11.8.2.9067</vt:lpwstr>
  </property>
</Properties>
</file>